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>» в 20</w:t>
      </w:r>
      <w:r w:rsidR="00A37464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(призёры, лауреаты, победители);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</w:t>
      </w:r>
      <w:r w:rsidR="00D31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4C7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/>
          <w:bCs/>
          <w:sz w:val="28"/>
          <w:szCs w:val="28"/>
        </w:rPr>
        <w:t>22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A37464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«моя педагогическая находка</w:t>
      </w:r>
      <w:r w:rsidR="004C21EF" w:rsidRPr="004C21EF">
        <w:rPr>
          <w:rFonts w:ascii="Times New Roman" w:hAnsi="Times New Roman"/>
          <w:bCs/>
          <w:sz w:val="28"/>
          <w:szCs w:val="28"/>
        </w:rPr>
        <w:t>»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сводную оценочную ведомость по результатам выполнения участниками конку</w:t>
      </w:r>
      <w:r w:rsidR="00A3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«интернет–портфолио»</w:t>
      </w:r>
      <w:bookmarkStart w:id="0" w:name="_GoBack"/>
      <w:bookmarkEnd w:id="0"/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/>
          <w:bCs/>
          <w:sz w:val="28"/>
          <w:szCs w:val="28"/>
        </w:rPr>
        <w:t>22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F43124" w:rsidRPr="00F43124">
        <w:rPr>
          <w:rFonts w:ascii="Times New Roman" w:hAnsi="Times New Roman"/>
          <w:bCs/>
          <w:sz w:val="28"/>
          <w:szCs w:val="28"/>
        </w:rPr>
        <w:t xml:space="preserve">«интернет–портфолио» </w:t>
      </w:r>
      <w:r w:rsidR="00F43124" w:rsidRPr="00F43124">
        <w:rPr>
          <w:rFonts w:ascii="Times New Roman" w:hAnsi="Times New Roman"/>
          <w:sz w:val="28"/>
          <w:szCs w:val="28"/>
        </w:rPr>
        <w:t>участника конкурса</w:t>
      </w:r>
      <w:r w:rsidR="00F43124" w:rsidRPr="00F43124">
        <w:rPr>
          <w:rFonts w:ascii="Times New Roman" w:hAnsi="Times New Roman" w:cs="Times New Roman"/>
          <w:sz w:val="28"/>
          <w:szCs w:val="28"/>
        </w:rPr>
        <w:t xml:space="preserve">, </w:t>
      </w:r>
      <w:r w:rsidR="00F43124" w:rsidRPr="00F43124">
        <w:rPr>
          <w:rFonts w:ascii="Times New Roman" w:hAnsi="Times New Roman"/>
          <w:bCs/>
          <w:sz w:val="28"/>
          <w:szCs w:val="28"/>
        </w:rPr>
        <w:t>«мастер-класс»</w:t>
      </w:r>
      <w:r w:rsidR="00F43124" w:rsidRP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>22</w:t>
      </w:r>
      <w:r w:rsidR="00D16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</w:t>
      </w:r>
      <w:r w:rsidR="008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заключительном мероприятии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4C7E7D"/>
    <w:rsid w:val="00593389"/>
    <w:rsid w:val="00615717"/>
    <w:rsid w:val="0063505C"/>
    <w:rsid w:val="00640646"/>
    <w:rsid w:val="006D3FEE"/>
    <w:rsid w:val="00760047"/>
    <w:rsid w:val="007626F7"/>
    <w:rsid w:val="0077664A"/>
    <w:rsid w:val="008175B8"/>
    <w:rsid w:val="0086162B"/>
    <w:rsid w:val="008B0F33"/>
    <w:rsid w:val="008D3A91"/>
    <w:rsid w:val="00A37464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1650B"/>
    <w:rsid w:val="00D31CC8"/>
    <w:rsid w:val="00D66E06"/>
    <w:rsid w:val="00E3543B"/>
    <w:rsid w:val="00E67AF6"/>
    <w:rsid w:val="00F3031A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BC9F"/>
  <w15:docId w15:val="{9AD53588-519E-41AC-A506-684832F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1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Елена Валентиновна Вербицкая</cp:lastModifiedBy>
  <cp:revision>31</cp:revision>
  <dcterms:created xsi:type="dcterms:W3CDTF">2014-11-25T07:15:00Z</dcterms:created>
  <dcterms:modified xsi:type="dcterms:W3CDTF">2021-12-22T07:39:00Z</dcterms:modified>
</cp:coreProperties>
</file>