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BB" w:rsidRPr="00A955BB" w:rsidRDefault="00A955BB" w:rsidP="00A955BB">
      <w:pPr>
        <w:keepNext/>
        <w:keepLines/>
        <w:suppressAutoHyphens/>
        <w:spacing w:before="200" w:after="0" w:line="240" w:lineRule="auto"/>
        <w:ind w:left="360"/>
        <w:jc w:val="center"/>
        <w:outlineLvl w:val="2"/>
        <w:rPr>
          <w:rFonts w:ascii="Times New Roman" w:eastAsia="Calibri" w:hAnsi="Times New Roman" w:cs="Times New Roman"/>
          <w:bCs/>
          <w:caps/>
          <w:sz w:val="32"/>
          <w:szCs w:val="32"/>
          <w:vertAlign w:val="superscript"/>
          <w:lang w:val="x-none" w:eastAsia="x-none"/>
        </w:rPr>
      </w:pPr>
      <w:r w:rsidRPr="00A955BB">
        <w:rPr>
          <w:rFonts w:ascii="Times New Roman" w:eastAsia="Calibri" w:hAnsi="Times New Roman" w:cs="Times New Roman"/>
          <w:b/>
          <w:bCs/>
          <w:caps/>
          <w:sz w:val="32"/>
          <w:szCs w:val="32"/>
          <w:lang w:val="x-none" w:eastAsia="x-none"/>
        </w:rPr>
        <w:t>А</w:t>
      </w:r>
      <w:bookmarkStart w:id="0" w:name="_GoBack"/>
      <w:bookmarkEnd w:id="0"/>
      <w:r w:rsidRPr="00A955BB">
        <w:rPr>
          <w:rFonts w:ascii="Times New Roman" w:eastAsia="Calibri" w:hAnsi="Times New Roman" w:cs="Times New Roman"/>
          <w:b/>
          <w:bCs/>
          <w:caps/>
          <w:sz w:val="32"/>
          <w:szCs w:val="32"/>
          <w:lang w:val="x-none" w:eastAsia="x-none"/>
        </w:rPr>
        <w:t>ННОТАЦИЯ</w:t>
      </w:r>
      <w:r w:rsidRPr="00A955BB">
        <w:rPr>
          <w:rFonts w:ascii="Times New Roman" w:eastAsia="Calibri" w:hAnsi="Times New Roman" w:cs="Times New Roman"/>
          <w:b/>
          <w:bCs/>
          <w:caps/>
          <w:sz w:val="32"/>
          <w:szCs w:val="32"/>
          <w:lang w:val="x-none" w:eastAsia="x-none"/>
        </w:rPr>
        <w:br/>
        <w:t>дополнительной профессиональной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1997"/>
        <w:gridCol w:w="4956"/>
      </w:tblGrid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Вид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ППК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Название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szCs w:val="40"/>
                <w:lang w:eastAsia="ru-RU"/>
              </w:rPr>
              <w:t>Управление созданием личностно-развивающей образовательной среды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Авторы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proofErr w:type="spell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Вачкова</w:t>
            </w:r>
            <w:proofErr w:type="spellEnd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 С. Н., Комаров Р. В., Иоффе А. Н., </w:t>
            </w:r>
            <w:proofErr w:type="spell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Ясвин</w:t>
            </w:r>
            <w:proofErr w:type="spellEnd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 В. А., Моисеев А. М., Бычкова Л. В., Макарова О. Г.,  Иванова Е. В.,  Комарова Д. С., Баранников К. А., </w:t>
            </w:r>
            <w:proofErr w:type="spell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Пинская</w:t>
            </w:r>
            <w:proofErr w:type="spellEnd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 М. А., </w:t>
            </w:r>
            <w:proofErr w:type="spell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Шалашова</w:t>
            </w:r>
            <w:proofErr w:type="spellEnd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 М. М., </w:t>
            </w:r>
            <w:proofErr w:type="spell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Моторо</w:t>
            </w:r>
            <w:proofErr w:type="spellEnd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 Н. П., Левин Я. А.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Авторы модификации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Измайлова Е.  Л., ст. методист ЦСП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Кораблева А. А., руководитель ЦСП, </w:t>
            </w:r>
            <w:proofErr w:type="spell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к.п.</w:t>
            </w:r>
            <w:proofErr w:type="gram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н</w:t>
            </w:r>
            <w:proofErr w:type="spellEnd"/>
            <w:proofErr w:type="gramEnd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.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Структурное подразделение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Центр сопровождения проектов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Общее образование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Целевая группа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spacing w:val="-16"/>
                <w:lang w:eastAsia="ar-SA"/>
              </w:rPr>
              <w:t>Управленческие команды образовательных организаций  - участники  регионального проекта «Реализация комплексной программы по развитию личностного потенциала»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Форма обучения</w:t>
            </w:r>
            <w:r w:rsidRPr="00A955B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Очно - заочная </w:t>
            </w:r>
          </w:p>
        </w:tc>
      </w:tr>
      <w:tr w:rsidR="00A955BB" w:rsidRPr="00A955BB" w:rsidTr="007E2FF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всего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88</w:t>
            </w:r>
          </w:p>
        </w:tc>
      </w:tr>
      <w:tr w:rsidR="00A955BB" w:rsidRPr="00A955BB" w:rsidTr="007E2FF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очно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50</w:t>
            </w:r>
          </w:p>
        </w:tc>
      </w:tr>
      <w:tr w:rsidR="00A955BB" w:rsidRPr="00A955BB" w:rsidTr="007E2FF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заочно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highlight w:val="yellow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38</w:t>
            </w:r>
          </w:p>
        </w:tc>
      </w:tr>
      <w:tr w:rsidR="00A955BB" w:rsidRPr="00A955BB" w:rsidTr="007E2FF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с ДОТ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</w:t>
            </w:r>
          </w:p>
        </w:tc>
      </w:tr>
      <w:tr w:rsidR="00A955BB" w:rsidRPr="00A955BB" w:rsidTr="007E2FF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в сетевой форме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Планируемы результаты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lang w:eastAsia="ru-RU"/>
              </w:rPr>
              <w:t>- обучающиеся овладеют профессиональными  компетенциями  в области управления созданием личностно-развивающей образовательной среды</w:t>
            </w:r>
            <w:r w:rsidRPr="00A955BB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защитят управленческий  проект по созданию личностно-развивающей образовательной среды ОО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Уровень освоения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3Б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Ключевые элементы содержания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общемировые и российские тренды и вызовы в образовании;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возможности влияния системы образования на развитие личностного потенциала;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анализ состояния образовательной среды организации с использованием инструментальной экспертизы;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инструменты стратегического управления и их использование для разработки проектов развития ОО на основе развития ЛРОС;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инновационные подходы к исследованию и проектированию образовательной среды;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- выявление ключевых ресурсов и рисков управленческого проекта ЛРОС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Требования к первичной компетентности </w:t>
            </w:r>
            <w:proofErr w:type="gramStart"/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lang w:eastAsia="ru-RU"/>
              </w:rPr>
              <w:t>- знания и умения в области управления ОО;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lang w:eastAsia="ru-RU"/>
              </w:rPr>
              <w:t>- владение  компьютером, умение  пользоваться электронной почтой и поисковыми системами в сети Интернет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нет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Форма итоговой аттестации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Зачёт </w:t>
            </w:r>
          </w:p>
        </w:tc>
      </w:tr>
      <w:tr w:rsidR="00A955BB" w:rsidRPr="00A955BB" w:rsidTr="007E2F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A955BB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lastRenderedPageBreak/>
              <w:t xml:space="preserve">Текст аннотации </w:t>
            </w:r>
          </w:p>
          <w:p w:rsidR="00A955BB" w:rsidRPr="00A955BB" w:rsidRDefault="00A955BB" w:rsidP="00A95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B" w:rsidRPr="00A955BB" w:rsidRDefault="00A955BB" w:rsidP="00A955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lang w:eastAsia="ar-SA"/>
              </w:rPr>
            </w:pPr>
            <w:proofErr w:type="gramStart"/>
            <w:r w:rsidRPr="00A955BB">
              <w:rPr>
                <w:rFonts w:ascii="Times New Roman" w:eastAsia="Calibri" w:hAnsi="Times New Roman" w:cs="Times New Roman"/>
                <w:lang w:eastAsia="ar-SA"/>
              </w:rPr>
              <w:t>Программа включает рассмотрение общемировых трендов в вопросах содержания образования и развития личностного потенциала ребенка,</w:t>
            </w:r>
            <w:r w:rsidRPr="00A955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955BB">
              <w:rPr>
                <w:rFonts w:ascii="Times New Roman" w:eastAsia="Calibri" w:hAnsi="Times New Roman" w:cs="Times New Roman"/>
                <w:lang w:eastAsia="ar-SA"/>
              </w:rPr>
              <w:t xml:space="preserve">построение векторной модели образовательной среды и графической модели образовательной среды на основе анализа её количественных параметров, практики стратегического планирования; современные тренды проектирования предметно-пространственной среды; педагогическое проектирование как компонент реализации управленческих проектов; выполнение </w:t>
            </w:r>
            <w:proofErr w:type="spellStart"/>
            <w:r w:rsidRPr="00A955BB">
              <w:rPr>
                <w:rFonts w:ascii="Times New Roman" w:eastAsia="Calibri" w:hAnsi="Times New Roman" w:cs="Times New Roman"/>
                <w:lang w:eastAsia="ar-SA"/>
              </w:rPr>
              <w:t>тренинговых</w:t>
            </w:r>
            <w:proofErr w:type="spellEnd"/>
            <w:r w:rsidRPr="00A955BB">
              <w:rPr>
                <w:rFonts w:ascii="Times New Roman" w:eastAsia="Calibri" w:hAnsi="Times New Roman" w:cs="Times New Roman"/>
                <w:lang w:eastAsia="ar-SA"/>
              </w:rPr>
              <w:t xml:space="preserve"> упражнений, кейсов, работа в малых группах, командах;</w:t>
            </w:r>
            <w:proofErr w:type="gramEnd"/>
            <w:r w:rsidRPr="00A955BB">
              <w:rPr>
                <w:rFonts w:ascii="Times New Roman" w:eastAsia="Calibri" w:hAnsi="Times New Roman" w:cs="Times New Roman"/>
                <w:lang w:eastAsia="ar-SA"/>
              </w:rPr>
              <w:t xml:space="preserve"> знакомство с инструментом создания и поддержания ЭИ среды.</w:t>
            </w:r>
          </w:p>
        </w:tc>
      </w:tr>
    </w:tbl>
    <w:p w:rsidR="000E30D0" w:rsidRDefault="000E30D0"/>
    <w:sectPr w:rsidR="000E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BB"/>
    <w:rsid w:val="000E30D0"/>
    <w:rsid w:val="00A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Елена Львовна Измайлова</cp:lastModifiedBy>
  <cp:revision>1</cp:revision>
  <dcterms:created xsi:type="dcterms:W3CDTF">2019-11-28T07:20:00Z</dcterms:created>
  <dcterms:modified xsi:type="dcterms:W3CDTF">2019-11-28T07:21:00Z</dcterms:modified>
</cp:coreProperties>
</file>