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834" w:rsidRPr="00DB3BE9" w:rsidRDefault="00F52834" w:rsidP="00DB3BE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B3BE9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F52834" w:rsidRPr="00DB3BE9" w:rsidRDefault="00F52834" w:rsidP="00DB3BE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BE9">
        <w:rPr>
          <w:rFonts w:ascii="Times New Roman" w:hAnsi="Times New Roman" w:cs="Times New Roman"/>
          <w:b/>
          <w:sz w:val="28"/>
          <w:szCs w:val="28"/>
        </w:rPr>
        <w:t>Об итогах апробации форм паспортов инновационной деятельности</w:t>
      </w:r>
    </w:p>
    <w:p w:rsidR="00F52834" w:rsidRPr="00DB3BE9" w:rsidRDefault="00F52834" w:rsidP="00DB3BE9">
      <w:pPr>
        <w:spacing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3BE9">
        <w:rPr>
          <w:rFonts w:ascii="Times New Roman" w:hAnsi="Times New Roman" w:cs="Times New Roman"/>
          <w:i/>
          <w:sz w:val="28"/>
          <w:szCs w:val="28"/>
        </w:rPr>
        <w:t>Патокина Е.А., методист ЦРИИ</w:t>
      </w:r>
    </w:p>
    <w:p w:rsidR="00CA62E8" w:rsidRPr="00DB3BE9" w:rsidRDefault="00C937AD" w:rsidP="00DB3BE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BE9">
        <w:rPr>
          <w:rFonts w:ascii="Times New Roman" w:hAnsi="Times New Roman" w:cs="Times New Roman"/>
          <w:sz w:val="28"/>
          <w:szCs w:val="28"/>
        </w:rPr>
        <w:t xml:space="preserve">В конце 2015 года прошла апробация форм паспортов инновационной деятельности муниципального образования и образовательной организации. </w:t>
      </w:r>
      <w:r w:rsidR="00AB4409" w:rsidRPr="00DB3BE9">
        <w:rPr>
          <w:rFonts w:ascii="Times New Roman" w:hAnsi="Times New Roman" w:cs="Times New Roman"/>
          <w:sz w:val="28"/>
          <w:szCs w:val="28"/>
        </w:rPr>
        <w:t>В апробации форм паспортов ИД приняло участие 45 образовательных организаций из пяти муниципальных образований Ярославской области: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94"/>
        <w:gridCol w:w="1935"/>
        <w:gridCol w:w="1077"/>
        <w:gridCol w:w="1084"/>
        <w:gridCol w:w="1043"/>
        <w:gridCol w:w="1212"/>
      </w:tblGrid>
      <w:tr w:rsidR="005D6BAD" w:rsidRPr="00DB3BE9" w:rsidTr="00C937AD">
        <w:tc>
          <w:tcPr>
            <w:tcW w:w="3256" w:type="dxa"/>
            <w:vAlign w:val="center"/>
          </w:tcPr>
          <w:p w:rsidR="005D6BAD" w:rsidRPr="00DB3BE9" w:rsidRDefault="005D6BAD" w:rsidP="00C93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B3BE9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  <w:tc>
          <w:tcPr>
            <w:tcW w:w="1559" w:type="dxa"/>
            <w:vAlign w:val="center"/>
          </w:tcPr>
          <w:p w:rsidR="005D6BAD" w:rsidRPr="00DB3BE9" w:rsidRDefault="005D6BAD" w:rsidP="00C93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BE9">
              <w:rPr>
                <w:rFonts w:ascii="Times New Roman" w:hAnsi="Times New Roman" w:cs="Times New Roman"/>
                <w:b/>
                <w:sz w:val="28"/>
                <w:szCs w:val="28"/>
              </w:rPr>
              <w:t>Всего ОО представлено</w:t>
            </w:r>
          </w:p>
        </w:tc>
        <w:tc>
          <w:tcPr>
            <w:tcW w:w="1134" w:type="dxa"/>
            <w:vAlign w:val="center"/>
          </w:tcPr>
          <w:p w:rsidR="005D6BAD" w:rsidRPr="00DB3BE9" w:rsidRDefault="005D6BAD" w:rsidP="00C93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BE9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r w:rsidR="007E5322" w:rsidRPr="00DB3BE9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134" w:type="dxa"/>
            <w:vAlign w:val="center"/>
          </w:tcPr>
          <w:p w:rsidR="005D6BAD" w:rsidRPr="00DB3BE9" w:rsidRDefault="005D6BAD" w:rsidP="00C93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BE9">
              <w:rPr>
                <w:rFonts w:ascii="Times New Roman" w:hAnsi="Times New Roman" w:cs="Times New Roman"/>
                <w:b/>
                <w:sz w:val="28"/>
                <w:szCs w:val="28"/>
              </w:rPr>
              <w:t>ООО</w:t>
            </w:r>
          </w:p>
        </w:tc>
        <w:tc>
          <w:tcPr>
            <w:tcW w:w="1095" w:type="dxa"/>
            <w:vAlign w:val="center"/>
          </w:tcPr>
          <w:p w:rsidR="005D6BAD" w:rsidRPr="00DB3BE9" w:rsidRDefault="005D6BAD" w:rsidP="00C93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BE9">
              <w:rPr>
                <w:rFonts w:ascii="Times New Roman" w:hAnsi="Times New Roman" w:cs="Times New Roman"/>
                <w:b/>
                <w:sz w:val="28"/>
                <w:szCs w:val="28"/>
              </w:rPr>
              <w:t>ДОД</w:t>
            </w:r>
          </w:p>
        </w:tc>
        <w:tc>
          <w:tcPr>
            <w:tcW w:w="1167" w:type="dxa"/>
            <w:vAlign w:val="center"/>
          </w:tcPr>
          <w:p w:rsidR="005D6BAD" w:rsidRPr="00DB3BE9" w:rsidRDefault="007E5322" w:rsidP="00C93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BE9">
              <w:rPr>
                <w:rFonts w:ascii="Times New Roman" w:hAnsi="Times New Roman" w:cs="Times New Roman"/>
                <w:b/>
                <w:sz w:val="28"/>
                <w:szCs w:val="28"/>
              </w:rPr>
              <w:t>ППМС-центры</w:t>
            </w:r>
          </w:p>
        </w:tc>
      </w:tr>
      <w:tr w:rsidR="005D6BAD" w:rsidRPr="00DB3BE9" w:rsidTr="002E1CD0">
        <w:tc>
          <w:tcPr>
            <w:tcW w:w="3256" w:type="dxa"/>
            <w:vAlign w:val="center"/>
          </w:tcPr>
          <w:p w:rsidR="005D6BAD" w:rsidRPr="00DB3BE9" w:rsidRDefault="005D6BAD" w:rsidP="00C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BE9">
              <w:rPr>
                <w:rFonts w:ascii="Times New Roman" w:hAnsi="Times New Roman" w:cs="Times New Roman"/>
                <w:sz w:val="28"/>
                <w:szCs w:val="28"/>
              </w:rPr>
              <w:t>Даниловский МР</w:t>
            </w:r>
          </w:p>
        </w:tc>
        <w:tc>
          <w:tcPr>
            <w:tcW w:w="1559" w:type="dxa"/>
            <w:vAlign w:val="center"/>
          </w:tcPr>
          <w:p w:rsidR="005D6BAD" w:rsidRPr="00DB3BE9" w:rsidRDefault="005D6BAD" w:rsidP="00C93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BE9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5D6BAD" w:rsidRPr="00DB3BE9" w:rsidRDefault="005D6BAD" w:rsidP="00C9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B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5D6BAD" w:rsidRPr="00DB3BE9" w:rsidRDefault="005D6BAD" w:rsidP="00C9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B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5" w:type="dxa"/>
            <w:shd w:val="clear" w:color="auto" w:fill="808080" w:themeFill="background1" w:themeFillShade="80"/>
            <w:vAlign w:val="center"/>
          </w:tcPr>
          <w:p w:rsidR="005D6BAD" w:rsidRPr="00DB3BE9" w:rsidRDefault="005D6BAD" w:rsidP="00C9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808080" w:themeFill="background1" w:themeFillShade="80"/>
            <w:vAlign w:val="center"/>
          </w:tcPr>
          <w:p w:rsidR="005D6BAD" w:rsidRPr="00DB3BE9" w:rsidRDefault="005D6BAD" w:rsidP="00C9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BAD" w:rsidRPr="00DB3BE9" w:rsidTr="002E1CD0">
        <w:tc>
          <w:tcPr>
            <w:tcW w:w="3256" w:type="dxa"/>
            <w:vAlign w:val="center"/>
          </w:tcPr>
          <w:p w:rsidR="005D6BAD" w:rsidRPr="00DB3BE9" w:rsidRDefault="005D6BAD" w:rsidP="00C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BE9">
              <w:rPr>
                <w:rFonts w:ascii="Times New Roman" w:hAnsi="Times New Roman" w:cs="Times New Roman"/>
                <w:sz w:val="28"/>
                <w:szCs w:val="28"/>
              </w:rPr>
              <w:t>Некоузский МР</w:t>
            </w:r>
          </w:p>
        </w:tc>
        <w:tc>
          <w:tcPr>
            <w:tcW w:w="1559" w:type="dxa"/>
            <w:vAlign w:val="center"/>
          </w:tcPr>
          <w:p w:rsidR="005D6BAD" w:rsidRPr="00DB3BE9" w:rsidRDefault="005D6BAD" w:rsidP="00C93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BE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D6BAD" w:rsidRPr="00DB3BE9" w:rsidRDefault="005D6BAD" w:rsidP="00C9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D6BAD" w:rsidRPr="00DB3BE9" w:rsidRDefault="005D6BAD" w:rsidP="00C9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B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dxa"/>
            <w:shd w:val="clear" w:color="auto" w:fill="808080" w:themeFill="background1" w:themeFillShade="80"/>
            <w:vAlign w:val="center"/>
          </w:tcPr>
          <w:p w:rsidR="005D6BAD" w:rsidRPr="00DB3BE9" w:rsidRDefault="005D6BAD" w:rsidP="00C9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808080" w:themeFill="background1" w:themeFillShade="80"/>
            <w:vAlign w:val="center"/>
          </w:tcPr>
          <w:p w:rsidR="005D6BAD" w:rsidRPr="00DB3BE9" w:rsidRDefault="005D6BAD" w:rsidP="00C9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BAD" w:rsidRPr="00DB3BE9" w:rsidTr="002E1CD0">
        <w:tc>
          <w:tcPr>
            <w:tcW w:w="3256" w:type="dxa"/>
            <w:vAlign w:val="center"/>
          </w:tcPr>
          <w:p w:rsidR="005D6BAD" w:rsidRPr="00DB3BE9" w:rsidRDefault="005D6BAD" w:rsidP="00C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BE9">
              <w:rPr>
                <w:rFonts w:ascii="Times New Roman" w:hAnsi="Times New Roman" w:cs="Times New Roman"/>
                <w:sz w:val="28"/>
                <w:szCs w:val="28"/>
              </w:rPr>
              <w:t>г.Переславль-Залесский</w:t>
            </w:r>
          </w:p>
        </w:tc>
        <w:tc>
          <w:tcPr>
            <w:tcW w:w="1559" w:type="dxa"/>
            <w:vAlign w:val="center"/>
          </w:tcPr>
          <w:p w:rsidR="005D6BAD" w:rsidRPr="00DB3BE9" w:rsidRDefault="005D6BAD" w:rsidP="00C93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BE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5D6BAD" w:rsidRPr="00DB3BE9" w:rsidRDefault="005D6BAD" w:rsidP="00C9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B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5D6BAD" w:rsidRPr="00DB3BE9" w:rsidRDefault="005D6BAD" w:rsidP="00C9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808080" w:themeFill="background1" w:themeFillShade="80"/>
            <w:vAlign w:val="center"/>
          </w:tcPr>
          <w:p w:rsidR="005D6BAD" w:rsidRPr="00DB3BE9" w:rsidRDefault="005D6BAD" w:rsidP="00C9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808080" w:themeFill="background1" w:themeFillShade="80"/>
            <w:vAlign w:val="center"/>
          </w:tcPr>
          <w:p w:rsidR="005D6BAD" w:rsidRPr="00DB3BE9" w:rsidRDefault="005D6BAD" w:rsidP="00C9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BAD" w:rsidRPr="00DB3BE9" w:rsidTr="002E1CD0">
        <w:tc>
          <w:tcPr>
            <w:tcW w:w="3256" w:type="dxa"/>
            <w:vAlign w:val="center"/>
          </w:tcPr>
          <w:p w:rsidR="005D6BAD" w:rsidRPr="00DB3BE9" w:rsidRDefault="005D6BAD" w:rsidP="00C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BE9">
              <w:rPr>
                <w:rFonts w:ascii="Times New Roman" w:hAnsi="Times New Roman" w:cs="Times New Roman"/>
                <w:sz w:val="28"/>
                <w:szCs w:val="28"/>
              </w:rPr>
              <w:t>Тутаевский МР</w:t>
            </w:r>
          </w:p>
        </w:tc>
        <w:tc>
          <w:tcPr>
            <w:tcW w:w="1559" w:type="dxa"/>
            <w:vAlign w:val="center"/>
          </w:tcPr>
          <w:p w:rsidR="005D6BAD" w:rsidRPr="00DB3BE9" w:rsidRDefault="005D6BAD" w:rsidP="00C93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BE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5D6BAD" w:rsidRPr="00DB3BE9" w:rsidRDefault="005D6BAD" w:rsidP="00C9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D6BAD" w:rsidRPr="00DB3BE9" w:rsidRDefault="005D6BAD" w:rsidP="00C9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B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dxa"/>
            <w:vAlign w:val="center"/>
          </w:tcPr>
          <w:p w:rsidR="005D6BAD" w:rsidRPr="00DB3BE9" w:rsidRDefault="005D6BAD" w:rsidP="00C9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7" w:type="dxa"/>
            <w:shd w:val="clear" w:color="auto" w:fill="808080" w:themeFill="background1" w:themeFillShade="80"/>
            <w:vAlign w:val="center"/>
          </w:tcPr>
          <w:p w:rsidR="005D6BAD" w:rsidRPr="00DB3BE9" w:rsidRDefault="005D6BAD" w:rsidP="00C9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BAD" w:rsidRPr="00DB3BE9" w:rsidTr="00C937AD">
        <w:tc>
          <w:tcPr>
            <w:tcW w:w="3256" w:type="dxa"/>
            <w:vAlign w:val="center"/>
          </w:tcPr>
          <w:p w:rsidR="005D6BAD" w:rsidRPr="00DB3BE9" w:rsidRDefault="005D6BAD" w:rsidP="00C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BE9">
              <w:rPr>
                <w:rFonts w:ascii="Times New Roman" w:hAnsi="Times New Roman" w:cs="Times New Roman"/>
                <w:sz w:val="28"/>
                <w:szCs w:val="28"/>
              </w:rPr>
              <w:t>Угличский МР</w:t>
            </w:r>
          </w:p>
        </w:tc>
        <w:tc>
          <w:tcPr>
            <w:tcW w:w="1559" w:type="dxa"/>
            <w:vAlign w:val="center"/>
          </w:tcPr>
          <w:p w:rsidR="005D6BAD" w:rsidRPr="00DB3BE9" w:rsidRDefault="005D6BAD" w:rsidP="00C93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BE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5D6BAD" w:rsidRPr="00DB3BE9" w:rsidRDefault="005D6BAD" w:rsidP="00C9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B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D6BAD" w:rsidRPr="00DB3BE9" w:rsidRDefault="005D6BAD" w:rsidP="00C9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B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5" w:type="dxa"/>
            <w:vAlign w:val="center"/>
          </w:tcPr>
          <w:p w:rsidR="005D6BAD" w:rsidRPr="00DB3BE9" w:rsidRDefault="005D6BAD" w:rsidP="00C9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7" w:type="dxa"/>
            <w:vAlign w:val="center"/>
          </w:tcPr>
          <w:p w:rsidR="005D6BAD" w:rsidRPr="00DB3BE9" w:rsidRDefault="005D6BAD" w:rsidP="00C9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0DB" w:rsidRPr="00DB3BE9" w:rsidTr="00C937AD">
        <w:tc>
          <w:tcPr>
            <w:tcW w:w="3256" w:type="dxa"/>
            <w:vAlign w:val="center"/>
          </w:tcPr>
          <w:p w:rsidR="000A40DB" w:rsidRPr="00DB3BE9" w:rsidRDefault="000A40DB" w:rsidP="00C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A40DB" w:rsidRPr="00DB3BE9" w:rsidRDefault="000A40DB" w:rsidP="00C93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BE9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134" w:type="dxa"/>
            <w:vAlign w:val="center"/>
          </w:tcPr>
          <w:p w:rsidR="000A40DB" w:rsidRPr="00DB3BE9" w:rsidRDefault="000A40DB" w:rsidP="00C93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BE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:rsidR="000A40DB" w:rsidRPr="00DB3BE9" w:rsidRDefault="000A40DB" w:rsidP="00C93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BE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095" w:type="dxa"/>
            <w:vAlign w:val="center"/>
          </w:tcPr>
          <w:p w:rsidR="000A40DB" w:rsidRPr="00DB3BE9" w:rsidRDefault="000A40DB" w:rsidP="00C93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BE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0A40DB" w:rsidRPr="00DB3BE9" w:rsidRDefault="000A40DB" w:rsidP="00C93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B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5D6BAD" w:rsidRPr="00DB3BE9" w:rsidRDefault="005D6BAD" w:rsidP="00BA76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0C5" w:rsidRPr="00DB3BE9" w:rsidRDefault="001067CF" w:rsidP="00DB3BE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BE9">
        <w:rPr>
          <w:rFonts w:ascii="Times New Roman" w:hAnsi="Times New Roman" w:cs="Times New Roman"/>
          <w:sz w:val="28"/>
          <w:szCs w:val="28"/>
        </w:rPr>
        <w:t xml:space="preserve">Обозначенные муниципальным образования представлены, по большей части, дошкольными и общеобразовательными организациями. </w:t>
      </w:r>
    </w:p>
    <w:p w:rsidR="000F51F3" w:rsidRPr="00DB3BE9" w:rsidRDefault="000F51F3" w:rsidP="00DB3BE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BE9">
        <w:rPr>
          <w:rFonts w:ascii="Times New Roman" w:hAnsi="Times New Roman" w:cs="Times New Roman"/>
          <w:sz w:val="28"/>
          <w:szCs w:val="28"/>
        </w:rPr>
        <w:t xml:space="preserve">Форма паспорта инновационной деятельности, предложенная к апробации, состоит из титульного листа и трех блоков. На титульном листе приводятся общие сведения об образовательной организации / муниципальном образовании. </w:t>
      </w:r>
      <w:r w:rsidR="00791FBE" w:rsidRPr="00DB3BE9">
        <w:rPr>
          <w:rFonts w:ascii="Times New Roman" w:hAnsi="Times New Roman" w:cs="Times New Roman"/>
          <w:sz w:val="28"/>
          <w:szCs w:val="28"/>
        </w:rPr>
        <w:t xml:space="preserve">Далее приводится информация о реализуемых проектах и программах, о событиях вне проектов и о представителях образовательной организации / муниципального образования и развиваемых ими темах. </w:t>
      </w:r>
    </w:p>
    <w:p w:rsidR="00DB3BE9" w:rsidRDefault="001C455F" w:rsidP="00DB3BE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BE9">
        <w:rPr>
          <w:rFonts w:ascii="Times New Roman" w:hAnsi="Times New Roman" w:cs="Times New Roman"/>
          <w:sz w:val="28"/>
          <w:szCs w:val="28"/>
        </w:rPr>
        <w:t>После получения заполненных паспортов инновационной деятельности, появилась возможность свести все данные в единую форму – региональный паспорт. Таким образом, появилась возможность сформировать п</w:t>
      </w:r>
      <w:r w:rsidR="007E5322" w:rsidRPr="00DB3BE9">
        <w:rPr>
          <w:rFonts w:ascii="Times New Roman" w:hAnsi="Times New Roman" w:cs="Times New Roman"/>
          <w:sz w:val="28"/>
          <w:szCs w:val="28"/>
        </w:rPr>
        <w:t>еречень востребованных в пилотных образовательных организациях тематик. Перечень ранжирован на основании количества упоминаний</w:t>
      </w:r>
      <w:r w:rsidR="003B4732" w:rsidRPr="00DB3BE9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7E5322" w:rsidRPr="00DB3BE9">
        <w:rPr>
          <w:rFonts w:ascii="Times New Roman" w:hAnsi="Times New Roman" w:cs="Times New Roman"/>
          <w:sz w:val="28"/>
          <w:szCs w:val="28"/>
        </w:rPr>
        <w:t>.</w:t>
      </w:r>
    </w:p>
    <w:p w:rsidR="00DB3BE9" w:rsidRDefault="00DB3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6"/>
        <w:gridCol w:w="1979"/>
      </w:tblGrid>
      <w:tr w:rsidR="007E5322" w:rsidRPr="00DB3BE9" w:rsidTr="00DB3BE9">
        <w:trPr>
          <w:trHeight w:val="300"/>
        </w:trPr>
        <w:tc>
          <w:tcPr>
            <w:tcW w:w="3941" w:type="pct"/>
            <w:shd w:val="clear" w:color="auto" w:fill="auto"/>
            <w:vAlign w:val="bottom"/>
          </w:tcPr>
          <w:p w:rsidR="007E5322" w:rsidRPr="00DB3BE9" w:rsidRDefault="007E5322" w:rsidP="00C937A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Обобщенная тематика</w:t>
            </w:r>
            <w:r w:rsidR="00B52422" w:rsidRPr="00DB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проектов ОО</w:t>
            </w:r>
          </w:p>
        </w:tc>
        <w:tc>
          <w:tcPr>
            <w:tcW w:w="1059" w:type="pct"/>
            <w:shd w:val="clear" w:color="auto" w:fill="auto"/>
            <w:noWrap/>
            <w:vAlign w:val="center"/>
          </w:tcPr>
          <w:p w:rsidR="007E5322" w:rsidRPr="00DB3BE9" w:rsidRDefault="007E5322" w:rsidP="00C937A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упоминаний</w:t>
            </w:r>
          </w:p>
        </w:tc>
      </w:tr>
      <w:tr w:rsidR="007E5322" w:rsidRPr="00DB3BE9" w:rsidTr="00DB3BE9">
        <w:trPr>
          <w:trHeight w:val="300"/>
        </w:trPr>
        <w:tc>
          <w:tcPr>
            <w:tcW w:w="3941" w:type="pct"/>
            <w:shd w:val="clear" w:color="auto" w:fill="auto"/>
            <w:vAlign w:val="bottom"/>
            <w:hideMark/>
          </w:tcPr>
          <w:p w:rsidR="007E5322" w:rsidRPr="00DB3BE9" w:rsidRDefault="007E5322" w:rsidP="00C937A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Образовательная среда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E5322" w:rsidRPr="00DB3BE9" w:rsidRDefault="007E5322" w:rsidP="002E1CD0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7E5322" w:rsidRPr="00DB3BE9" w:rsidTr="00DB3BE9">
        <w:trPr>
          <w:trHeight w:val="300"/>
        </w:trPr>
        <w:tc>
          <w:tcPr>
            <w:tcW w:w="3941" w:type="pct"/>
            <w:shd w:val="clear" w:color="auto" w:fill="auto"/>
            <w:vAlign w:val="bottom"/>
            <w:hideMark/>
          </w:tcPr>
          <w:p w:rsidR="007E5322" w:rsidRPr="00DB3BE9" w:rsidRDefault="007E5322" w:rsidP="00C937A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ФГОС дошкольного образования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E5322" w:rsidRPr="00DB3BE9" w:rsidRDefault="007E5322" w:rsidP="002E1CD0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3B4732" w:rsidRPr="00DB3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E5322" w:rsidRPr="00DB3BE9" w:rsidTr="00DB3BE9">
        <w:trPr>
          <w:trHeight w:val="300"/>
        </w:trPr>
        <w:tc>
          <w:tcPr>
            <w:tcW w:w="3941" w:type="pct"/>
            <w:shd w:val="clear" w:color="auto" w:fill="auto"/>
            <w:vAlign w:val="bottom"/>
            <w:hideMark/>
          </w:tcPr>
          <w:p w:rsidR="007E5322" w:rsidRPr="00DB3BE9" w:rsidRDefault="007E5322" w:rsidP="00C937A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Здоровьесбережение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E5322" w:rsidRPr="00DB3BE9" w:rsidRDefault="007E5322" w:rsidP="002E1CD0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7E5322" w:rsidRPr="00DB3BE9" w:rsidTr="00DB3BE9">
        <w:trPr>
          <w:trHeight w:val="300"/>
        </w:trPr>
        <w:tc>
          <w:tcPr>
            <w:tcW w:w="3941" w:type="pct"/>
            <w:shd w:val="clear" w:color="auto" w:fill="auto"/>
            <w:vAlign w:val="bottom"/>
            <w:hideMark/>
          </w:tcPr>
          <w:p w:rsidR="007E5322" w:rsidRPr="00DB3BE9" w:rsidRDefault="007E5322" w:rsidP="00C937A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Субъектно-ориентированный педагогический процесс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E5322" w:rsidRPr="00DB3BE9" w:rsidRDefault="007E5322" w:rsidP="002E1CD0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7E5322" w:rsidRPr="00DB3BE9" w:rsidTr="00DB3BE9">
        <w:trPr>
          <w:trHeight w:val="300"/>
        </w:trPr>
        <w:tc>
          <w:tcPr>
            <w:tcW w:w="3941" w:type="pct"/>
            <w:shd w:val="clear" w:color="auto" w:fill="auto"/>
            <w:vAlign w:val="bottom"/>
            <w:hideMark/>
          </w:tcPr>
          <w:p w:rsidR="007E5322" w:rsidRPr="00DB3BE9" w:rsidRDefault="007E5322" w:rsidP="00C937A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Работа с детьми с ОВЗ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E5322" w:rsidRPr="00DB3BE9" w:rsidRDefault="007E5322" w:rsidP="002E1CD0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7E5322" w:rsidRPr="00DB3BE9" w:rsidTr="00DB3BE9">
        <w:trPr>
          <w:trHeight w:val="300"/>
        </w:trPr>
        <w:tc>
          <w:tcPr>
            <w:tcW w:w="3941" w:type="pct"/>
            <w:shd w:val="clear" w:color="auto" w:fill="auto"/>
            <w:vAlign w:val="bottom"/>
            <w:hideMark/>
          </w:tcPr>
          <w:p w:rsidR="007E5322" w:rsidRPr="00DB3BE9" w:rsidRDefault="007E5322" w:rsidP="00C937A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Допрофессиональная (предпрофильная) подготовка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E5322" w:rsidRPr="00DB3BE9" w:rsidRDefault="007E5322" w:rsidP="002E1CD0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7E5322" w:rsidRPr="00DB3BE9" w:rsidTr="00DB3BE9">
        <w:trPr>
          <w:trHeight w:val="300"/>
        </w:trPr>
        <w:tc>
          <w:tcPr>
            <w:tcW w:w="3941" w:type="pct"/>
            <w:shd w:val="clear" w:color="auto" w:fill="auto"/>
            <w:vAlign w:val="bottom"/>
            <w:hideMark/>
          </w:tcPr>
          <w:p w:rsidR="007E5322" w:rsidRPr="00DB3BE9" w:rsidRDefault="007E5322" w:rsidP="00C937A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кадрового потенциала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E5322" w:rsidRPr="00DB3BE9" w:rsidRDefault="007E5322" w:rsidP="002E1CD0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7E5322" w:rsidRPr="00DB3BE9" w:rsidTr="00DB3BE9">
        <w:trPr>
          <w:trHeight w:val="300"/>
        </w:trPr>
        <w:tc>
          <w:tcPr>
            <w:tcW w:w="3941" w:type="pct"/>
            <w:shd w:val="clear" w:color="auto" w:fill="auto"/>
            <w:vAlign w:val="bottom"/>
            <w:hideMark/>
          </w:tcPr>
          <w:p w:rsidR="007E5322" w:rsidRPr="00DB3BE9" w:rsidRDefault="007E5322" w:rsidP="00C937A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Работа с одаренными детьми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E5322" w:rsidRPr="00DB3BE9" w:rsidRDefault="007E5322" w:rsidP="002E1CD0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7E5322" w:rsidRPr="00DB3BE9" w:rsidTr="00DB3BE9">
        <w:trPr>
          <w:trHeight w:val="300"/>
        </w:trPr>
        <w:tc>
          <w:tcPr>
            <w:tcW w:w="3941" w:type="pct"/>
            <w:tcBorders>
              <w:bottom w:val="single" w:sz="2" w:space="0" w:color="auto"/>
            </w:tcBorders>
            <w:shd w:val="clear" w:color="auto" w:fill="auto"/>
            <w:vAlign w:val="bottom"/>
            <w:hideMark/>
          </w:tcPr>
          <w:p w:rsidR="007E5322" w:rsidRPr="00DB3BE9" w:rsidRDefault="007E5322" w:rsidP="00C937A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Военно-патриотическое воспитание</w:t>
            </w:r>
          </w:p>
        </w:tc>
        <w:tc>
          <w:tcPr>
            <w:tcW w:w="1059" w:type="pct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E5322" w:rsidRPr="00DB3BE9" w:rsidRDefault="007E5322" w:rsidP="002E1CD0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7E5322" w:rsidRPr="00DB3BE9" w:rsidTr="00DB3BE9">
        <w:trPr>
          <w:trHeight w:val="300"/>
        </w:trPr>
        <w:tc>
          <w:tcPr>
            <w:tcW w:w="39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7E5322" w:rsidRPr="00DB3BE9" w:rsidRDefault="007E5322" w:rsidP="00C937A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  <w:tc>
          <w:tcPr>
            <w:tcW w:w="10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E5322" w:rsidRPr="00DB3BE9" w:rsidRDefault="007E5322" w:rsidP="002E1CD0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7E5322" w:rsidRPr="00DB3BE9" w:rsidTr="00DB3BE9">
        <w:trPr>
          <w:trHeight w:val="300"/>
        </w:trPr>
        <w:tc>
          <w:tcPr>
            <w:tcW w:w="394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7E5322" w:rsidRPr="00DB3BE9" w:rsidRDefault="007E5322" w:rsidP="00C937A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Формирование гражданской идентичности</w:t>
            </w:r>
          </w:p>
        </w:tc>
        <w:tc>
          <w:tcPr>
            <w:tcW w:w="1059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E5322" w:rsidRPr="00DB3BE9" w:rsidRDefault="007E5322" w:rsidP="002E1CD0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7E5322" w:rsidRPr="00DB3BE9" w:rsidTr="00DB3BE9">
        <w:trPr>
          <w:trHeight w:val="300"/>
        </w:trPr>
        <w:tc>
          <w:tcPr>
            <w:tcW w:w="3941" w:type="pct"/>
            <w:tcBorders>
              <w:top w:val="single" w:sz="24" w:space="0" w:color="auto"/>
            </w:tcBorders>
            <w:shd w:val="clear" w:color="auto" w:fill="auto"/>
            <w:vAlign w:val="bottom"/>
            <w:hideMark/>
          </w:tcPr>
          <w:p w:rsidR="007E5322" w:rsidRPr="00DB3BE9" w:rsidRDefault="007E5322" w:rsidP="00C937A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Формирующее оценивание</w:t>
            </w:r>
          </w:p>
        </w:tc>
        <w:tc>
          <w:tcPr>
            <w:tcW w:w="1059" w:type="pct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E5322" w:rsidRPr="00DB3BE9" w:rsidRDefault="007E5322" w:rsidP="002E1CD0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E5322" w:rsidRPr="00DB3BE9" w:rsidTr="00DB3BE9">
        <w:trPr>
          <w:trHeight w:val="300"/>
        </w:trPr>
        <w:tc>
          <w:tcPr>
            <w:tcW w:w="3941" w:type="pct"/>
            <w:shd w:val="clear" w:color="auto" w:fill="auto"/>
            <w:vAlign w:val="bottom"/>
            <w:hideMark/>
          </w:tcPr>
          <w:p w:rsidR="007E5322" w:rsidRPr="00DB3BE9" w:rsidRDefault="007E5322" w:rsidP="00C937A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ФГОС ОО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E5322" w:rsidRPr="00DB3BE9" w:rsidRDefault="007E5322" w:rsidP="002E1CD0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E5322" w:rsidRPr="00DB3BE9" w:rsidTr="00DB3BE9">
        <w:trPr>
          <w:trHeight w:val="300"/>
        </w:trPr>
        <w:tc>
          <w:tcPr>
            <w:tcW w:w="3941" w:type="pct"/>
            <w:shd w:val="clear" w:color="auto" w:fill="auto"/>
            <w:vAlign w:val="bottom"/>
            <w:hideMark/>
          </w:tcPr>
          <w:p w:rsidR="007E5322" w:rsidRPr="00DB3BE9" w:rsidRDefault="007E5322" w:rsidP="00C937A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Патриотическое воспитание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E5322" w:rsidRPr="00DB3BE9" w:rsidRDefault="007E5322" w:rsidP="002E1CD0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E5322" w:rsidRPr="00DB3BE9" w:rsidTr="00DB3BE9">
        <w:trPr>
          <w:trHeight w:val="300"/>
        </w:trPr>
        <w:tc>
          <w:tcPr>
            <w:tcW w:w="3941" w:type="pct"/>
            <w:shd w:val="clear" w:color="auto" w:fill="auto"/>
            <w:vAlign w:val="bottom"/>
            <w:hideMark/>
          </w:tcPr>
          <w:p w:rsidR="007E5322" w:rsidRPr="00DB3BE9" w:rsidRDefault="007E5322" w:rsidP="00C937A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Взаимодействие с семьей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E5322" w:rsidRPr="00DB3BE9" w:rsidRDefault="007E5322" w:rsidP="002E1CD0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E5322" w:rsidRPr="00DB3BE9" w:rsidTr="00DB3BE9">
        <w:trPr>
          <w:trHeight w:val="300"/>
        </w:trPr>
        <w:tc>
          <w:tcPr>
            <w:tcW w:w="3941" w:type="pct"/>
            <w:shd w:val="clear" w:color="auto" w:fill="auto"/>
            <w:vAlign w:val="bottom"/>
            <w:hideMark/>
          </w:tcPr>
          <w:p w:rsidR="007E5322" w:rsidRPr="00DB3BE9" w:rsidRDefault="007E5322" w:rsidP="00C937A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E5322" w:rsidRPr="00DB3BE9" w:rsidRDefault="007E5322" w:rsidP="002E1CD0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E5322" w:rsidRPr="00DB3BE9" w:rsidTr="00DB3BE9">
        <w:trPr>
          <w:trHeight w:val="300"/>
        </w:trPr>
        <w:tc>
          <w:tcPr>
            <w:tcW w:w="3941" w:type="pct"/>
            <w:shd w:val="clear" w:color="auto" w:fill="auto"/>
            <w:vAlign w:val="bottom"/>
            <w:hideMark/>
          </w:tcPr>
          <w:p w:rsidR="007E5322" w:rsidRPr="00DB3BE9" w:rsidRDefault="007E5322" w:rsidP="00C937A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Школы в ССК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E5322" w:rsidRPr="00DB3BE9" w:rsidRDefault="007E5322" w:rsidP="002E1CD0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E5322" w:rsidRPr="00DB3BE9" w:rsidTr="00DB3BE9">
        <w:trPr>
          <w:trHeight w:val="300"/>
        </w:trPr>
        <w:tc>
          <w:tcPr>
            <w:tcW w:w="3941" w:type="pct"/>
            <w:shd w:val="clear" w:color="auto" w:fill="auto"/>
            <w:vAlign w:val="bottom"/>
            <w:hideMark/>
          </w:tcPr>
          <w:p w:rsidR="007E5322" w:rsidRPr="00DB3BE9" w:rsidRDefault="007E5322" w:rsidP="00C937A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Экологическая культура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E5322" w:rsidRPr="00DB3BE9" w:rsidRDefault="007E5322" w:rsidP="002E1CD0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E5322" w:rsidRPr="00DB3BE9" w:rsidTr="00DB3BE9">
        <w:trPr>
          <w:trHeight w:val="300"/>
        </w:trPr>
        <w:tc>
          <w:tcPr>
            <w:tcW w:w="3941" w:type="pct"/>
            <w:shd w:val="clear" w:color="auto" w:fill="auto"/>
            <w:vAlign w:val="bottom"/>
            <w:hideMark/>
          </w:tcPr>
          <w:p w:rsidR="007E5322" w:rsidRPr="00DB3BE9" w:rsidRDefault="007E5322" w:rsidP="00C937A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Метапредметные достижения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E5322" w:rsidRPr="00DB3BE9" w:rsidRDefault="007E5322" w:rsidP="002E1CD0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E5322" w:rsidRPr="00DB3BE9" w:rsidTr="00DB3BE9">
        <w:trPr>
          <w:trHeight w:val="300"/>
        </w:trPr>
        <w:tc>
          <w:tcPr>
            <w:tcW w:w="3941" w:type="pct"/>
            <w:shd w:val="clear" w:color="auto" w:fill="auto"/>
            <w:vAlign w:val="bottom"/>
            <w:hideMark/>
          </w:tcPr>
          <w:p w:rsidR="007E5322" w:rsidRPr="00DB3BE9" w:rsidRDefault="007E5322" w:rsidP="00C937A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Проектная и исследовательская деятельность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E5322" w:rsidRPr="00DB3BE9" w:rsidRDefault="007E5322" w:rsidP="002E1CD0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E5322" w:rsidRPr="00DB3BE9" w:rsidTr="00DB3BE9">
        <w:trPr>
          <w:trHeight w:val="300"/>
        </w:trPr>
        <w:tc>
          <w:tcPr>
            <w:tcW w:w="3941" w:type="pct"/>
            <w:shd w:val="clear" w:color="auto" w:fill="auto"/>
            <w:vAlign w:val="bottom"/>
            <w:hideMark/>
          </w:tcPr>
          <w:p w:rsidR="007E5322" w:rsidRPr="00DB3BE9" w:rsidRDefault="007E5322" w:rsidP="00C937A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Системно-деятельностный подход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E5322" w:rsidRPr="00DB3BE9" w:rsidRDefault="007E5322" w:rsidP="002E1CD0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E5322" w:rsidRPr="00DB3BE9" w:rsidTr="00DB3BE9">
        <w:trPr>
          <w:trHeight w:val="300"/>
        </w:trPr>
        <w:tc>
          <w:tcPr>
            <w:tcW w:w="3941" w:type="pct"/>
            <w:shd w:val="clear" w:color="auto" w:fill="auto"/>
            <w:vAlign w:val="bottom"/>
            <w:hideMark/>
          </w:tcPr>
          <w:p w:rsidR="007E5322" w:rsidRPr="00DB3BE9" w:rsidRDefault="0035756A" w:rsidP="00C937A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Повышение и оценка качества образования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E5322" w:rsidRPr="00DB3BE9" w:rsidRDefault="0035756A" w:rsidP="002E1CD0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E5322" w:rsidRPr="00DB3BE9" w:rsidTr="00DB3BE9">
        <w:trPr>
          <w:trHeight w:val="300"/>
        </w:trPr>
        <w:tc>
          <w:tcPr>
            <w:tcW w:w="3941" w:type="pct"/>
            <w:shd w:val="clear" w:color="auto" w:fill="auto"/>
            <w:vAlign w:val="bottom"/>
            <w:hideMark/>
          </w:tcPr>
          <w:p w:rsidR="007E5322" w:rsidRPr="00DB3BE9" w:rsidRDefault="003B4732" w:rsidP="00C937A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Дистанционное образование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E5322" w:rsidRPr="00DB3BE9" w:rsidRDefault="007E5322" w:rsidP="002E1CD0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5322" w:rsidRPr="00DB3BE9" w:rsidTr="00DB3BE9">
        <w:trPr>
          <w:trHeight w:val="300"/>
        </w:trPr>
        <w:tc>
          <w:tcPr>
            <w:tcW w:w="3941" w:type="pct"/>
            <w:shd w:val="clear" w:color="auto" w:fill="auto"/>
            <w:vAlign w:val="bottom"/>
            <w:hideMark/>
          </w:tcPr>
          <w:p w:rsidR="007E5322" w:rsidRPr="00DB3BE9" w:rsidRDefault="007E5322" w:rsidP="00C937A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Художественно-эстетическое воспитание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E5322" w:rsidRPr="00DB3BE9" w:rsidRDefault="007E5322" w:rsidP="002E1CD0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0A6820" w:rsidRPr="00DB3BE9" w:rsidRDefault="000A6820" w:rsidP="00BA76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012D" w:rsidRPr="00DB3BE9" w:rsidRDefault="003B4732" w:rsidP="00DB3BE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BE9">
        <w:rPr>
          <w:rFonts w:ascii="Times New Roman" w:hAnsi="Times New Roman" w:cs="Times New Roman"/>
          <w:sz w:val="28"/>
          <w:szCs w:val="28"/>
        </w:rPr>
        <w:t>Максимально востребованными в пилотных образовательных организациях являются темы, связанные с развитием образовательной среды образовательной организации и ФГОС дошкольного образования.</w:t>
      </w:r>
      <w:r w:rsidR="000A6820" w:rsidRPr="00DB3BE9">
        <w:rPr>
          <w:rFonts w:ascii="Times New Roman" w:hAnsi="Times New Roman" w:cs="Times New Roman"/>
          <w:sz w:val="28"/>
          <w:szCs w:val="28"/>
        </w:rPr>
        <w:t xml:space="preserve"> </w:t>
      </w:r>
      <w:r w:rsidR="0090012D" w:rsidRPr="00DB3BE9">
        <w:rPr>
          <w:rFonts w:ascii="Times New Roman" w:hAnsi="Times New Roman" w:cs="Times New Roman"/>
          <w:sz w:val="28"/>
          <w:szCs w:val="28"/>
        </w:rPr>
        <w:t xml:space="preserve">Если произвести подсчет </w:t>
      </w:r>
      <w:r w:rsidR="000A6820" w:rsidRPr="00DB3BE9">
        <w:rPr>
          <w:rFonts w:ascii="Times New Roman" w:hAnsi="Times New Roman" w:cs="Times New Roman"/>
          <w:sz w:val="28"/>
          <w:szCs w:val="28"/>
        </w:rPr>
        <w:t>порогового значения</w:t>
      </w:r>
      <w:r w:rsidR="000A6820" w:rsidRPr="00DB3BE9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="0090012D" w:rsidRPr="00DB3BE9">
        <w:rPr>
          <w:rFonts w:ascii="Times New Roman" w:hAnsi="Times New Roman" w:cs="Times New Roman"/>
          <w:sz w:val="28"/>
          <w:szCs w:val="28"/>
        </w:rPr>
        <w:t xml:space="preserve"> для данного ряда значений (столбец «количество упоминаний»), то можно разделить имеющийся перечень тематик на две группы. Исходя из того, что </w:t>
      </w:r>
      <w:r w:rsidR="000A6820" w:rsidRPr="00DB3BE9">
        <w:rPr>
          <w:rFonts w:ascii="Times New Roman" w:hAnsi="Times New Roman" w:cs="Times New Roman"/>
          <w:sz w:val="28"/>
          <w:szCs w:val="28"/>
        </w:rPr>
        <w:t>пороговое значение</w:t>
      </w:r>
      <w:r w:rsidR="0090012D" w:rsidRPr="00DB3BE9">
        <w:rPr>
          <w:rFonts w:ascii="Times New Roman" w:hAnsi="Times New Roman" w:cs="Times New Roman"/>
          <w:sz w:val="28"/>
          <w:szCs w:val="28"/>
        </w:rPr>
        <w:t xml:space="preserve"> данного ряда составляет </w:t>
      </w:r>
      <w:r w:rsidR="0035756A" w:rsidRPr="00DB3BE9">
        <w:rPr>
          <w:rFonts w:ascii="Times New Roman" w:hAnsi="Times New Roman" w:cs="Times New Roman"/>
          <w:sz w:val="28"/>
          <w:szCs w:val="28"/>
        </w:rPr>
        <w:t>8,36</w:t>
      </w:r>
      <w:r w:rsidR="0090012D" w:rsidRPr="00DB3BE9">
        <w:rPr>
          <w:rFonts w:ascii="Times New Roman" w:hAnsi="Times New Roman" w:cs="Times New Roman"/>
          <w:sz w:val="28"/>
          <w:szCs w:val="28"/>
        </w:rPr>
        <w:t xml:space="preserve">, более востребованными в данном перечне будут считаться те темы, которые встречаются не менее </w:t>
      </w:r>
      <w:r w:rsidR="0035756A" w:rsidRPr="00DB3BE9">
        <w:rPr>
          <w:rFonts w:ascii="Times New Roman" w:hAnsi="Times New Roman" w:cs="Times New Roman"/>
          <w:sz w:val="28"/>
          <w:szCs w:val="28"/>
        </w:rPr>
        <w:t>9</w:t>
      </w:r>
      <w:r w:rsidR="0090012D" w:rsidRPr="00DB3BE9">
        <w:rPr>
          <w:rFonts w:ascii="Times New Roman" w:hAnsi="Times New Roman" w:cs="Times New Roman"/>
          <w:sz w:val="28"/>
          <w:szCs w:val="28"/>
        </w:rPr>
        <w:t xml:space="preserve"> раз:</w:t>
      </w:r>
    </w:p>
    <w:p w:rsidR="00EA285C" w:rsidRDefault="00EA285C" w:rsidP="00DB3BE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BE9">
        <w:rPr>
          <w:rFonts w:ascii="Times New Roman" w:hAnsi="Times New Roman" w:cs="Times New Roman"/>
          <w:sz w:val="28"/>
          <w:szCs w:val="28"/>
        </w:rPr>
        <w:t xml:space="preserve">Однако, не стоит игнорировать и те тематики, которые в меньшей степени востребованы на основании сводного паспорта инновационной деятельности. Эти темы могут нуждаться в развитии и поддержке на региональном уровне. </w:t>
      </w:r>
      <w:r w:rsidRPr="00DB3BE9">
        <w:rPr>
          <w:rFonts w:ascii="Times New Roman" w:hAnsi="Times New Roman" w:cs="Times New Roman"/>
          <w:sz w:val="28"/>
          <w:szCs w:val="28"/>
        </w:rPr>
        <w:lastRenderedPageBreak/>
        <w:t xml:space="preserve">Для того, чтобы определить, какие из приведенных тем можно отнести в этот перечень, рассмотрим темы, интересующие педагогов в пилотных образовательных организациях. </w:t>
      </w:r>
      <w:r w:rsidR="00AC057A" w:rsidRPr="00DB3BE9">
        <w:rPr>
          <w:rFonts w:ascii="Times New Roman" w:hAnsi="Times New Roman" w:cs="Times New Roman"/>
          <w:sz w:val="28"/>
          <w:szCs w:val="28"/>
        </w:rPr>
        <w:t xml:space="preserve">Темы так же обобщены и группированы по частоте упоминаний. </w:t>
      </w:r>
      <w:r w:rsidR="00F13D39" w:rsidRPr="00DB3BE9">
        <w:rPr>
          <w:rFonts w:ascii="Times New Roman" w:hAnsi="Times New Roman" w:cs="Times New Roman"/>
          <w:sz w:val="28"/>
          <w:szCs w:val="28"/>
        </w:rPr>
        <w:t>Перечень ранжирован по убыванию количества упоминаний.</w:t>
      </w:r>
    </w:p>
    <w:p w:rsidR="00DB3BE9" w:rsidRPr="00DB3BE9" w:rsidRDefault="00DB3BE9" w:rsidP="00DB3BE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227"/>
        <w:gridCol w:w="2122"/>
      </w:tblGrid>
      <w:tr w:rsidR="00F13D39" w:rsidRPr="00DB3BE9" w:rsidTr="00DB3BE9">
        <w:trPr>
          <w:trHeight w:val="300"/>
        </w:trPr>
        <w:tc>
          <w:tcPr>
            <w:tcW w:w="3865" w:type="pct"/>
            <w:shd w:val="clear" w:color="auto" w:fill="auto"/>
            <w:vAlign w:val="bottom"/>
          </w:tcPr>
          <w:p w:rsidR="00F13D39" w:rsidRPr="00DB3BE9" w:rsidRDefault="00F13D39" w:rsidP="00C937A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Обобщенная тематика интересов представителей ОО</w:t>
            </w:r>
          </w:p>
        </w:tc>
        <w:tc>
          <w:tcPr>
            <w:tcW w:w="1135" w:type="pct"/>
            <w:shd w:val="clear" w:color="auto" w:fill="auto"/>
            <w:vAlign w:val="bottom"/>
          </w:tcPr>
          <w:p w:rsidR="00F13D39" w:rsidRPr="00DB3BE9" w:rsidRDefault="00F13D39" w:rsidP="002E1CD0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упоминаний</w:t>
            </w:r>
          </w:p>
        </w:tc>
      </w:tr>
      <w:tr w:rsidR="00F13D39" w:rsidRPr="00DB3BE9" w:rsidTr="00DB3BE9">
        <w:trPr>
          <w:trHeight w:val="300"/>
        </w:trPr>
        <w:tc>
          <w:tcPr>
            <w:tcW w:w="3865" w:type="pct"/>
            <w:shd w:val="clear" w:color="auto" w:fill="auto"/>
            <w:vAlign w:val="bottom"/>
            <w:hideMark/>
          </w:tcPr>
          <w:p w:rsidR="00F13D39" w:rsidRPr="00DB3BE9" w:rsidRDefault="00F13D39" w:rsidP="00C937A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Преемственность ДО, НО, ОО и СО в рамках реализации ФГОС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F13D39" w:rsidRPr="00DB3BE9" w:rsidRDefault="00F13D39" w:rsidP="002E1CD0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F13D39" w:rsidRPr="00DB3BE9" w:rsidTr="00DB3BE9">
        <w:trPr>
          <w:trHeight w:val="300"/>
        </w:trPr>
        <w:tc>
          <w:tcPr>
            <w:tcW w:w="3865" w:type="pct"/>
            <w:shd w:val="clear" w:color="auto" w:fill="FFFF00"/>
            <w:vAlign w:val="bottom"/>
            <w:hideMark/>
          </w:tcPr>
          <w:p w:rsidR="00F13D39" w:rsidRPr="00DB3BE9" w:rsidRDefault="00F13D39" w:rsidP="00C937A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ФГОС ОО</w:t>
            </w:r>
          </w:p>
        </w:tc>
        <w:tc>
          <w:tcPr>
            <w:tcW w:w="1135" w:type="pct"/>
            <w:shd w:val="clear" w:color="auto" w:fill="FFFF00"/>
            <w:vAlign w:val="center"/>
            <w:hideMark/>
          </w:tcPr>
          <w:p w:rsidR="00F13D39" w:rsidRPr="00DB3BE9" w:rsidRDefault="00F13D39" w:rsidP="002E1CD0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F13D39" w:rsidRPr="00DB3BE9" w:rsidTr="00DB3BE9">
        <w:trPr>
          <w:trHeight w:val="300"/>
        </w:trPr>
        <w:tc>
          <w:tcPr>
            <w:tcW w:w="3865" w:type="pct"/>
            <w:shd w:val="clear" w:color="auto" w:fill="auto"/>
            <w:vAlign w:val="bottom"/>
            <w:hideMark/>
          </w:tcPr>
          <w:p w:rsidR="00F13D39" w:rsidRPr="00DB3BE9" w:rsidRDefault="00F13D39" w:rsidP="00C937A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Здоровьесбережение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F13D39" w:rsidRPr="00DB3BE9" w:rsidRDefault="00F13D39" w:rsidP="002E1CD0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F13D39" w:rsidRPr="00DB3BE9" w:rsidTr="00DB3BE9">
        <w:trPr>
          <w:trHeight w:val="300"/>
        </w:trPr>
        <w:tc>
          <w:tcPr>
            <w:tcW w:w="3865" w:type="pct"/>
            <w:tcBorders>
              <w:bottom w:val="single" w:sz="24" w:space="0" w:color="auto"/>
            </w:tcBorders>
            <w:shd w:val="clear" w:color="auto" w:fill="auto"/>
            <w:vAlign w:val="bottom"/>
            <w:hideMark/>
          </w:tcPr>
          <w:p w:rsidR="00F13D39" w:rsidRPr="00DB3BE9" w:rsidRDefault="00F13D39" w:rsidP="00C937A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ФГОС ДО</w:t>
            </w:r>
          </w:p>
        </w:tc>
        <w:tc>
          <w:tcPr>
            <w:tcW w:w="1135" w:type="pct"/>
            <w:tcBorders>
              <w:bottom w:val="single" w:sz="24" w:space="0" w:color="auto"/>
            </w:tcBorders>
            <w:shd w:val="clear" w:color="auto" w:fill="auto"/>
            <w:vAlign w:val="center"/>
            <w:hideMark/>
          </w:tcPr>
          <w:p w:rsidR="00F13D39" w:rsidRPr="00DB3BE9" w:rsidRDefault="00F13D39" w:rsidP="002E1CD0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F13D39" w:rsidRPr="00DB3BE9" w:rsidTr="00DB3BE9">
        <w:trPr>
          <w:trHeight w:val="300"/>
        </w:trPr>
        <w:tc>
          <w:tcPr>
            <w:tcW w:w="3865" w:type="pct"/>
            <w:tcBorders>
              <w:top w:val="single" w:sz="24" w:space="0" w:color="auto"/>
            </w:tcBorders>
            <w:shd w:val="clear" w:color="auto" w:fill="FFFF00"/>
            <w:vAlign w:val="bottom"/>
            <w:hideMark/>
          </w:tcPr>
          <w:p w:rsidR="00F13D39" w:rsidRPr="00DB3BE9" w:rsidRDefault="00F13D39" w:rsidP="00C937A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 семьей и социальными партнерами</w:t>
            </w:r>
          </w:p>
        </w:tc>
        <w:tc>
          <w:tcPr>
            <w:tcW w:w="1135" w:type="pct"/>
            <w:tcBorders>
              <w:top w:val="single" w:sz="24" w:space="0" w:color="auto"/>
            </w:tcBorders>
            <w:shd w:val="clear" w:color="auto" w:fill="FFFF00"/>
            <w:vAlign w:val="center"/>
            <w:hideMark/>
          </w:tcPr>
          <w:p w:rsidR="00F13D39" w:rsidRPr="00DB3BE9" w:rsidRDefault="00F13D39" w:rsidP="002E1CD0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F13D39" w:rsidRPr="00DB3BE9" w:rsidTr="00DB3BE9">
        <w:trPr>
          <w:trHeight w:val="300"/>
        </w:trPr>
        <w:tc>
          <w:tcPr>
            <w:tcW w:w="3865" w:type="pct"/>
            <w:shd w:val="clear" w:color="auto" w:fill="auto"/>
            <w:vAlign w:val="bottom"/>
            <w:hideMark/>
          </w:tcPr>
          <w:p w:rsidR="00F13D39" w:rsidRPr="00DB3BE9" w:rsidRDefault="00F13D39" w:rsidP="00C937A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Духовно-нравственное и патриотическое воспитание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F13D39" w:rsidRPr="00DB3BE9" w:rsidRDefault="00F13D39" w:rsidP="002E1CD0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F13D39" w:rsidRPr="00DB3BE9" w:rsidTr="00DB3BE9">
        <w:trPr>
          <w:trHeight w:val="300"/>
        </w:trPr>
        <w:tc>
          <w:tcPr>
            <w:tcW w:w="3865" w:type="pct"/>
            <w:shd w:val="clear" w:color="auto" w:fill="auto"/>
            <w:vAlign w:val="bottom"/>
            <w:hideMark/>
          </w:tcPr>
          <w:p w:rsidR="00F13D39" w:rsidRPr="00DB3BE9" w:rsidRDefault="00F13D39" w:rsidP="00C937A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кадровый потенциал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F13D39" w:rsidRPr="00DB3BE9" w:rsidRDefault="00F13D39" w:rsidP="002E1CD0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5756A" w:rsidRPr="00DB3BE9" w:rsidTr="00DB3BE9">
        <w:trPr>
          <w:trHeight w:val="300"/>
        </w:trPr>
        <w:tc>
          <w:tcPr>
            <w:tcW w:w="3865" w:type="pct"/>
            <w:shd w:val="clear" w:color="auto" w:fill="FFFF00"/>
            <w:vAlign w:val="bottom"/>
            <w:hideMark/>
          </w:tcPr>
          <w:p w:rsidR="00F13D39" w:rsidRPr="00DB3BE9" w:rsidRDefault="00F13D39" w:rsidP="00C937A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метапредмет</w:t>
            </w:r>
          </w:p>
        </w:tc>
        <w:tc>
          <w:tcPr>
            <w:tcW w:w="1135" w:type="pct"/>
            <w:shd w:val="clear" w:color="auto" w:fill="FFFF00"/>
            <w:vAlign w:val="center"/>
            <w:hideMark/>
          </w:tcPr>
          <w:p w:rsidR="00F13D39" w:rsidRPr="00DB3BE9" w:rsidRDefault="00F13D39" w:rsidP="002E1CD0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F13D39" w:rsidRPr="00DB3BE9" w:rsidTr="00DB3BE9">
        <w:trPr>
          <w:trHeight w:val="300"/>
        </w:trPr>
        <w:tc>
          <w:tcPr>
            <w:tcW w:w="3865" w:type="pct"/>
            <w:shd w:val="clear" w:color="auto" w:fill="auto"/>
            <w:vAlign w:val="bottom"/>
            <w:hideMark/>
          </w:tcPr>
          <w:p w:rsidR="00F13D39" w:rsidRPr="00DB3BE9" w:rsidRDefault="00F13D39" w:rsidP="00C937A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ИКТ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F13D39" w:rsidRPr="00DB3BE9" w:rsidRDefault="00F13D39" w:rsidP="002E1CD0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840BE" w:rsidRPr="00DB3BE9" w:rsidTr="00DB3BE9">
        <w:trPr>
          <w:trHeight w:val="300"/>
        </w:trPr>
        <w:tc>
          <w:tcPr>
            <w:tcW w:w="3865" w:type="pct"/>
            <w:shd w:val="clear" w:color="auto" w:fill="FFFF00"/>
            <w:vAlign w:val="bottom"/>
            <w:hideMark/>
          </w:tcPr>
          <w:p w:rsidR="00F13D39" w:rsidRPr="00DB3BE9" w:rsidRDefault="00F13D39" w:rsidP="00C937A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качества образования</w:t>
            </w:r>
          </w:p>
        </w:tc>
        <w:tc>
          <w:tcPr>
            <w:tcW w:w="1135" w:type="pct"/>
            <w:shd w:val="clear" w:color="auto" w:fill="FFFF00"/>
            <w:vAlign w:val="center"/>
            <w:hideMark/>
          </w:tcPr>
          <w:p w:rsidR="00F13D39" w:rsidRPr="00DB3BE9" w:rsidRDefault="00F13D39" w:rsidP="002E1CD0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F13D39" w:rsidRPr="00DB3BE9" w:rsidTr="00DB3BE9">
        <w:trPr>
          <w:trHeight w:val="300"/>
        </w:trPr>
        <w:tc>
          <w:tcPr>
            <w:tcW w:w="3865" w:type="pct"/>
            <w:shd w:val="clear" w:color="auto" w:fill="auto"/>
            <w:vAlign w:val="bottom"/>
            <w:hideMark/>
          </w:tcPr>
          <w:p w:rsidR="00F13D39" w:rsidRPr="00DB3BE9" w:rsidRDefault="00F13D39" w:rsidP="00C937A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субъектно-ориентированный педагогический процесс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F13D39" w:rsidRPr="00DB3BE9" w:rsidRDefault="00F13D39" w:rsidP="002E1CD0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F13D39" w:rsidRPr="00DB3BE9" w:rsidTr="00DB3BE9">
        <w:trPr>
          <w:trHeight w:val="300"/>
        </w:trPr>
        <w:tc>
          <w:tcPr>
            <w:tcW w:w="3865" w:type="pct"/>
            <w:shd w:val="clear" w:color="auto" w:fill="auto"/>
            <w:vAlign w:val="bottom"/>
            <w:hideMark/>
          </w:tcPr>
          <w:p w:rsidR="00F13D39" w:rsidRPr="00DB3BE9" w:rsidRDefault="00F13D39" w:rsidP="00C937A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Одаренные дети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F13D39" w:rsidRPr="00DB3BE9" w:rsidRDefault="00F13D39" w:rsidP="002E1CD0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13D39" w:rsidRPr="00DB3BE9" w:rsidTr="00DB3BE9">
        <w:trPr>
          <w:trHeight w:val="300"/>
        </w:trPr>
        <w:tc>
          <w:tcPr>
            <w:tcW w:w="3865" w:type="pct"/>
            <w:shd w:val="clear" w:color="auto" w:fill="auto"/>
            <w:vAlign w:val="bottom"/>
            <w:hideMark/>
          </w:tcPr>
          <w:p w:rsidR="00F13D39" w:rsidRPr="00DB3BE9" w:rsidRDefault="00F13D39" w:rsidP="00C937A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среда ОО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F13D39" w:rsidRPr="00DB3BE9" w:rsidRDefault="00F13D39" w:rsidP="002E1CD0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13D39" w:rsidRPr="00DB3BE9" w:rsidTr="00DB3BE9">
        <w:trPr>
          <w:trHeight w:val="300"/>
        </w:trPr>
        <w:tc>
          <w:tcPr>
            <w:tcW w:w="3865" w:type="pct"/>
            <w:shd w:val="clear" w:color="auto" w:fill="auto"/>
            <w:vAlign w:val="bottom"/>
            <w:hideMark/>
          </w:tcPr>
          <w:p w:rsidR="00F13D39" w:rsidRPr="00DB3BE9" w:rsidRDefault="00F13D39" w:rsidP="00C937A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Допрофессиональная подготовка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F13D39" w:rsidRPr="00DB3BE9" w:rsidRDefault="00F13D39" w:rsidP="002E1CD0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5756A" w:rsidRPr="00DB3BE9" w:rsidTr="00DB3BE9">
        <w:trPr>
          <w:trHeight w:val="300"/>
        </w:trPr>
        <w:tc>
          <w:tcPr>
            <w:tcW w:w="3865" w:type="pct"/>
            <w:shd w:val="clear" w:color="auto" w:fill="FFFF00"/>
            <w:vAlign w:val="bottom"/>
            <w:hideMark/>
          </w:tcPr>
          <w:p w:rsidR="00F13D39" w:rsidRPr="00DB3BE9" w:rsidRDefault="00F13D39" w:rsidP="00C937A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</w:t>
            </w:r>
            <w:r w:rsidR="00C937AD" w:rsidRPr="00DB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B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ская культура</w:t>
            </w:r>
          </w:p>
        </w:tc>
        <w:tc>
          <w:tcPr>
            <w:tcW w:w="1135" w:type="pct"/>
            <w:shd w:val="clear" w:color="auto" w:fill="FFFF00"/>
            <w:vAlign w:val="center"/>
            <w:hideMark/>
          </w:tcPr>
          <w:p w:rsidR="00F13D39" w:rsidRPr="00DB3BE9" w:rsidRDefault="00F13D39" w:rsidP="002E1CD0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B32682" w:rsidRPr="00DB3BE9" w:rsidRDefault="001F5C10" w:rsidP="00DB3BE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BE9">
        <w:rPr>
          <w:rFonts w:ascii="Times New Roman" w:hAnsi="Times New Roman" w:cs="Times New Roman"/>
          <w:sz w:val="28"/>
          <w:szCs w:val="28"/>
        </w:rPr>
        <w:t xml:space="preserve"> </w:t>
      </w:r>
      <w:r w:rsidR="00E330C3" w:rsidRPr="00DB3BE9">
        <w:rPr>
          <w:rFonts w:ascii="Times New Roman" w:hAnsi="Times New Roman" w:cs="Times New Roman"/>
          <w:sz w:val="28"/>
          <w:szCs w:val="28"/>
        </w:rPr>
        <w:t>Желтым цветом</w:t>
      </w:r>
      <w:r w:rsidRPr="00DB3BE9">
        <w:rPr>
          <w:rFonts w:ascii="Times New Roman" w:hAnsi="Times New Roman" w:cs="Times New Roman"/>
          <w:sz w:val="28"/>
          <w:szCs w:val="28"/>
        </w:rPr>
        <w:t xml:space="preserve"> в таблице отмечены те позиции из предыдущего списка, которые не вошли в «зону значимости» на основании расчета </w:t>
      </w:r>
      <w:r w:rsidR="000A6820" w:rsidRPr="00DB3BE9">
        <w:rPr>
          <w:rFonts w:ascii="Times New Roman" w:hAnsi="Times New Roman" w:cs="Times New Roman"/>
          <w:sz w:val="28"/>
          <w:szCs w:val="28"/>
        </w:rPr>
        <w:t>порогового значения</w:t>
      </w:r>
      <w:r w:rsidRPr="00DB3BE9">
        <w:rPr>
          <w:rFonts w:ascii="Times New Roman" w:hAnsi="Times New Roman" w:cs="Times New Roman"/>
          <w:sz w:val="28"/>
          <w:szCs w:val="28"/>
        </w:rPr>
        <w:t xml:space="preserve">. </w:t>
      </w:r>
      <w:r w:rsidR="00A14AAA" w:rsidRPr="00DB3BE9">
        <w:rPr>
          <w:rFonts w:ascii="Times New Roman" w:hAnsi="Times New Roman" w:cs="Times New Roman"/>
          <w:sz w:val="28"/>
          <w:szCs w:val="28"/>
        </w:rPr>
        <w:t xml:space="preserve">Для указанного ряда </w:t>
      </w:r>
      <w:r w:rsidR="000A6820" w:rsidRPr="00DB3BE9">
        <w:rPr>
          <w:rFonts w:ascii="Times New Roman" w:hAnsi="Times New Roman" w:cs="Times New Roman"/>
          <w:sz w:val="28"/>
          <w:szCs w:val="28"/>
        </w:rPr>
        <w:t>данных</w:t>
      </w:r>
      <w:r w:rsidR="00A14AAA" w:rsidRPr="00DB3BE9">
        <w:rPr>
          <w:rFonts w:ascii="Times New Roman" w:hAnsi="Times New Roman" w:cs="Times New Roman"/>
          <w:sz w:val="28"/>
          <w:szCs w:val="28"/>
        </w:rPr>
        <w:t xml:space="preserve">, </w:t>
      </w:r>
      <w:r w:rsidR="000A6820" w:rsidRPr="00DB3BE9">
        <w:rPr>
          <w:rFonts w:ascii="Times New Roman" w:hAnsi="Times New Roman" w:cs="Times New Roman"/>
          <w:sz w:val="28"/>
          <w:szCs w:val="28"/>
        </w:rPr>
        <w:t>пороговое значение</w:t>
      </w:r>
      <w:r w:rsidR="00A14AAA" w:rsidRPr="00DB3BE9">
        <w:rPr>
          <w:rFonts w:ascii="Times New Roman" w:hAnsi="Times New Roman" w:cs="Times New Roman"/>
          <w:sz w:val="28"/>
          <w:szCs w:val="28"/>
        </w:rPr>
        <w:t xml:space="preserve"> составляет 20,08. Это означает, что </w:t>
      </w:r>
      <w:r w:rsidR="00E330C3" w:rsidRPr="00DB3BE9">
        <w:rPr>
          <w:rFonts w:ascii="Times New Roman" w:hAnsi="Times New Roman" w:cs="Times New Roman"/>
          <w:sz w:val="28"/>
          <w:szCs w:val="28"/>
        </w:rPr>
        <w:t>те тематики, которые встречаются не менее 21 раза, могут дополнить перечень, приведенный выше.</w:t>
      </w:r>
      <w:r w:rsidR="004556F1" w:rsidRPr="00DB3BE9">
        <w:rPr>
          <w:rFonts w:ascii="Times New Roman" w:hAnsi="Times New Roman" w:cs="Times New Roman"/>
          <w:sz w:val="28"/>
          <w:szCs w:val="28"/>
        </w:rPr>
        <w:t xml:space="preserve"> Из перечня тематик, не вошедших в «зону значимости» ранее, добавляются вопросы, связанные с внедрением ФГОС основного образования. Дополнительно в перечень тем из «зоны значимости» могут быть включены вопросы, связанные с преемственностью дошкольного, начального, общего и среднего образования в рамках реализации ФГОС.</w:t>
      </w:r>
    </w:p>
    <w:p w:rsidR="00E330C3" w:rsidRPr="00DB3BE9" w:rsidRDefault="00E330C3" w:rsidP="00DB3BE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BE9">
        <w:rPr>
          <w:rFonts w:ascii="Times New Roman" w:hAnsi="Times New Roman" w:cs="Times New Roman"/>
          <w:sz w:val="28"/>
          <w:szCs w:val="28"/>
        </w:rPr>
        <w:t>Таким образом, на основе данных паспорта инновационной деятельности мо</w:t>
      </w:r>
      <w:r w:rsidR="004556F1" w:rsidRPr="00DB3BE9">
        <w:rPr>
          <w:rFonts w:ascii="Times New Roman" w:hAnsi="Times New Roman" w:cs="Times New Roman"/>
          <w:sz w:val="28"/>
          <w:szCs w:val="28"/>
        </w:rPr>
        <w:t>же</w:t>
      </w:r>
      <w:r w:rsidRPr="00DB3BE9">
        <w:rPr>
          <w:rFonts w:ascii="Times New Roman" w:hAnsi="Times New Roman" w:cs="Times New Roman"/>
          <w:sz w:val="28"/>
          <w:szCs w:val="28"/>
        </w:rPr>
        <w:t xml:space="preserve">т быть составлен </w:t>
      </w:r>
      <w:r w:rsidR="004556F1" w:rsidRPr="00DB3BE9">
        <w:rPr>
          <w:rFonts w:ascii="Times New Roman" w:hAnsi="Times New Roman" w:cs="Times New Roman"/>
          <w:sz w:val="28"/>
          <w:szCs w:val="28"/>
        </w:rPr>
        <w:t>перечень предложений</w:t>
      </w:r>
      <w:r w:rsidRPr="00DB3BE9">
        <w:rPr>
          <w:rFonts w:ascii="Times New Roman" w:hAnsi="Times New Roman" w:cs="Times New Roman"/>
          <w:sz w:val="28"/>
          <w:szCs w:val="28"/>
        </w:rPr>
        <w:t xml:space="preserve"> по формированию перечня приоритетных направлений развития региональной системы образования. На примере анализа паспортов пилотных образовательных организаций, рекомендуемый перечень выглядит следующим образом</w:t>
      </w:r>
      <w:r w:rsidR="0082464D" w:rsidRPr="00DB3BE9">
        <w:rPr>
          <w:rFonts w:ascii="Times New Roman" w:hAnsi="Times New Roman" w:cs="Times New Roman"/>
          <w:sz w:val="28"/>
          <w:szCs w:val="28"/>
        </w:rPr>
        <w:t xml:space="preserve"> (тематики представлены в обобщенном виде)</w:t>
      </w:r>
      <w:r w:rsidRPr="00DB3BE9">
        <w:rPr>
          <w:rFonts w:ascii="Times New Roman" w:hAnsi="Times New Roman" w:cs="Times New Roman"/>
          <w:sz w:val="28"/>
          <w:szCs w:val="28"/>
        </w:rPr>
        <w:t>:</w:t>
      </w:r>
    </w:p>
    <w:p w:rsidR="00E330C3" w:rsidRPr="00DB3BE9" w:rsidRDefault="00E330C3" w:rsidP="00DB3BE9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BE9">
        <w:rPr>
          <w:rFonts w:ascii="Times New Roman" w:hAnsi="Times New Roman" w:cs="Times New Roman"/>
          <w:sz w:val="28"/>
          <w:szCs w:val="28"/>
        </w:rPr>
        <w:lastRenderedPageBreak/>
        <w:t>Образовательная среда</w:t>
      </w:r>
    </w:p>
    <w:p w:rsidR="00E330C3" w:rsidRPr="00DB3BE9" w:rsidRDefault="00E330C3" w:rsidP="00DB3BE9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BE9">
        <w:rPr>
          <w:rFonts w:ascii="Times New Roman" w:hAnsi="Times New Roman" w:cs="Times New Roman"/>
          <w:sz w:val="28"/>
          <w:szCs w:val="28"/>
        </w:rPr>
        <w:t>ФГОС дошкольного образования</w:t>
      </w:r>
    </w:p>
    <w:p w:rsidR="00E330C3" w:rsidRPr="00DB3BE9" w:rsidRDefault="00E330C3" w:rsidP="00DB3BE9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BE9">
        <w:rPr>
          <w:rFonts w:ascii="Times New Roman" w:hAnsi="Times New Roman" w:cs="Times New Roman"/>
          <w:sz w:val="28"/>
          <w:szCs w:val="28"/>
        </w:rPr>
        <w:t>Здоровьесбережение</w:t>
      </w:r>
    </w:p>
    <w:p w:rsidR="00E330C3" w:rsidRPr="00DB3BE9" w:rsidRDefault="00E330C3" w:rsidP="00DB3BE9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BE9">
        <w:rPr>
          <w:rFonts w:ascii="Times New Roman" w:hAnsi="Times New Roman" w:cs="Times New Roman"/>
          <w:sz w:val="28"/>
          <w:szCs w:val="28"/>
        </w:rPr>
        <w:t>Субъектно-ориентированный педагогический процесс</w:t>
      </w:r>
    </w:p>
    <w:p w:rsidR="00E330C3" w:rsidRPr="00DB3BE9" w:rsidRDefault="00E330C3" w:rsidP="00DB3BE9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BE9">
        <w:rPr>
          <w:rFonts w:ascii="Times New Roman" w:hAnsi="Times New Roman" w:cs="Times New Roman"/>
          <w:sz w:val="28"/>
          <w:szCs w:val="28"/>
        </w:rPr>
        <w:t>Работа с детьми с ОВЗ</w:t>
      </w:r>
    </w:p>
    <w:p w:rsidR="00E330C3" w:rsidRPr="00DB3BE9" w:rsidRDefault="00E330C3" w:rsidP="00DB3BE9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BE9">
        <w:rPr>
          <w:rFonts w:ascii="Times New Roman" w:hAnsi="Times New Roman" w:cs="Times New Roman"/>
          <w:sz w:val="28"/>
          <w:szCs w:val="28"/>
        </w:rPr>
        <w:t>Допрофессиональная (предпрофильная) подготовка</w:t>
      </w:r>
    </w:p>
    <w:p w:rsidR="00E330C3" w:rsidRPr="00DB3BE9" w:rsidRDefault="00E330C3" w:rsidP="00DB3BE9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BE9">
        <w:rPr>
          <w:rFonts w:ascii="Times New Roman" w:hAnsi="Times New Roman" w:cs="Times New Roman"/>
          <w:sz w:val="28"/>
          <w:szCs w:val="28"/>
        </w:rPr>
        <w:t>Развитие кадрового потенциала</w:t>
      </w:r>
    </w:p>
    <w:p w:rsidR="00E330C3" w:rsidRPr="00DB3BE9" w:rsidRDefault="00E330C3" w:rsidP="00DB3BE9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BE9">
        <w:rPr>
          <w:rFonts w:ascii="Times New Roman" w:hAnsi="Times New Roman" w:cs="Times New Roman"/>
          <w:sz w:val="28"/>
          <w:szCs w:val="28"/>
        </w:rPr>
        <w:t>Работа с одаренными детьми</w:t>
      </w:r>
    </w:p>
    <w:p w:rsidR="00E330C3" w:rsidRPr="00DB3BE9" w:rsidRDefault="00E330C3" w:rsidP="00DB3BE9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BE9">
        <w:rPr>
          <w:rFonts w:ascii="Times New Roman" w:hAnsi="Times New Roman" w:cs="Times New Roman"/>
          <w:sz w:val="28"/>
          <w:szCs w:val="28"/>
        </w:rPr>
        <w:t>Военно-патриотическое воспитание</w:t>
      </w:r>
    </w:p>
    <w:p w:rsidR="00E330C3" w:rsidRPr="00DB3BE9" w:rsidRDefault="00E330C3" w:rsidP="00DB3BE9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BE9">
        <w:rPr>
          <w:rFonts w:ascii="Times New Roman" w:hAnsi="Times New Roman" w:cs="Times New Roman"/>
          <w:sz w:val="28"/>
          <w:szCs w:val="28"/>
        </w:rPr>
        <w:t>Духовно-нравственное воспитание</w:t>
      </w:r>
    </w:p>
    <w:p w:rsidR="00E330C3" w:rsidRPr="00DB3BE9" w:rsidRDefault="00E330C3" w:rsidP="00DB3BE9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BE9">
        <w:rPr>
          <w:rFonts w:ascii="Times New Roman" w:hAnsi="Times New Roman" w:cs="Times New Roman"/>
          <w:sz w:val="28"/>
          <w:szCs w:val="28"/>
        </w:rPr>
        <w:t>Формирование гражданской идентичности</w:t>
      </w:r>
    </w:p>
    <w:p w:rsidR="00E330C3" w:rsidRPr="00DB3BE9" w:rsidRDefault="00E330C3" w:rsidP="00DB3BE9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BE9">
        <w:rPr>
          <w:rFonts w:ascii="Times New Roman" w:hAnsi="Times New Roman" w:cs="Times New Roman"/>
          <w:sz w:val="28"/>
          <w:szCs w:val="28"/>
        </w:rPr>
        <w:t>ФГОС общего образования</w:t>
      </w:r>
    </w:p>
    <w:p w:rsidR="00BA76B7" w:rsidRPr="00DB3BE9" w:rsidRDefault="00BA76B7" w:rsidP="00DB3BE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BE9">
        <w:rPr>
          <w:rFonts w:ascii="Times New Roman" w:hAnsi="Times New Roman" w:cs="Times New Roman"/>
          <w:sz w:val="28"/>
          <w:szCs w:val="28"/>
        </w:rPr>
        <w:t xml:space="preserve">Однако, считаем необходимым более развернуто рассматривать тематики, реализуемые педагогами. Таким образом, был разработан проект паспорта инновационной деятельности педагога, в котором будут обозначены не только фактические темы, которые развивают педагоги, но и темы, в рамках которых они готовы делиться опытом, а также темы, в рамках которых педагоги хотели бы получить новую информацию. На основе подобной информации появится возможность более точно оценить реализуемые в регионе тематики и сформировать рекомендации приоритетных направлений развития РСО на будущее. </w:t>
      </w:r>
    </w:p>
    <w:p w:rsidR="00BA76B7" w:rsidRPr="00DB3BE9" w:rsidRDefault="00BA76B7" w:rsidP="00DB3BE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BE9">
        <w:rPr>
          <w:rFonts w:ascii="Times New Roman" w:hAnsi="Times New Roman" w:cs="Times New Roman"/>
          <w:sz w:val="28"/>
          <w:szCs w:val="28"/>
        </w:rPr>
        <w:t>Помимо формирования перечня тем, предлагаемых в качестве региональных приоритетов, паспорт поможет расширить и укрепить имеющиеся, а также сформировать новые сети образовательных организаций, реализующих инновационные проекты</w:t>
      </w:r>
      <w:r w:rsidR="00061BCD" w:rsidRPr="00DB3BE9">
        <w:rPr>
          <w:rFonts w:ascii="Times New Roman" w:hAnsi="Times New Roman" w:cs="Times New Roman"/>
          <w:sz w:val="28"/>
          <w:szCs w:val="28"/>
        </w:rPr>
        <w:t xml:space="preserve"> в регионе</w:t>
      </w:r>
      <w:r w:rsidRPr="00DB3BE9">
        <w:rPr>
          <w:rFonts w:ascii="Times New Roman" w:hAnsi="Times New Roman" w:cs="Times New Roman"/>
          <w:sz w:val="28"/>
          <w:szCs w:val="28"/>
        </w:rPr>
        <w:t xml:space="preserve">. </w:t>
      </w:r>
      <w:r w:rsidR="00061BCD" w:rsidRPr="00DB3BE9">
        <w:rPr>
          <w:rFonts w:ascii="Times New Roman" w:hAnsi="Times New Roman" w:cs="Times New Roman"/>
          <w:sz w:val="28"/>
          <w:szCs w:val="28"/>
        </w:rPr>
        <w:t>Еще одним аспектом паспорта является возможность выстраивания взаимодействия не только между образовательными организациями и муниципальными образованиями, но и между людьми – профессионалами, готовыми делиться опытом и в то же время обучаться новому и восполнять возможные профессиональные дефициты.</w:t>
      </w:r>
    </w:p>
    <w:p w:rsidR="007361E8" w:rsidRPr="00DB3BE9" w:rsidRDefault="00061BCD" w:rsidP="00DB3BE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BE9">
        <w:rPr>
          <w:rFonts w:ascii="Times New Roman" w:hAnsi="Times New Roman" w:cs="Times New Roman"/>
          <w:sz w:val="28"/>
          <w:szCs w:val="28"/>
        </w:rPr>
        <w:t>Сказанное выше актуально и на уровне муниципальных образований, и образовательных организаций. Отдельно стоит сказать об уровне конкретной образовательной организации. Любому руководителю важ</w:t>
      </w:r>
      <w:r w:rsidR="00AC326A" w:rsidRPr="00DB3BE9">
        <w:rPr>
          <w:rFonts w:ascii="Times New Roman" w:hAnsi="Times New Roman" w:cs="Times New Roman"/>
          <w:sz w:val="28"/>
          <w:szCs w:val="28"/>
        </w:rPr>
        <w:t xml:space="preserve">но выстроить команду профессионалов. Не исключение и руководители образовательных организаций. Для усиления команды педагогов, важно </w:t>
      </w:r>
      <w:r w:rsidR="001F1603" w:rsidRPr="00DB3BE9">
        <w:rPr>
          <w:rFonts w:ascii="Times New Roman" w:hAnsi="Times New Roman" w:cs="Times New Roman"/>
          <w:sz w:val="28"/>
          <w:szCs w:val="28"/>
        </w:rPr>
        <w:t xml:space="preserve">проанализировать имеющийся потенциал и дефициты каждого педагога. Индивидуальный паспорт педагога позволит выявить потребности педагога и предложить ему взаимодействие с коллегами, имеющими опыт в данной теме. </w:t>
      </w:r>
      <w:r w:rsidR="007361E8" w:rsidRPr="00DB3BE9">
        <w:rPr>
          <w:rFonts w:ascii="Times New Roman" w:hAnsi="Times New Roman" w:cs="Times New Roman"/>
          <w:sz w:val="28"/>
          <w:szCs w:val="28"/>
        </w:rPr>
        <w:t>В итоге мы будем иметь возможность перейти от личного характера коммуникации между коллегами – к профессиональной. Профессиональная коммуникация дает возможность более эффективно решать имеющиеся вопросы. Педагог в таком коллективе уже не «варится в собственном соку», а посредством взаимодействия с коллегами, растет в профессиональном плане.</w:t>
      </w:r>
    </w:p>
    <w:p w:rsidR="008F285D" w:rsidRPr="00DB3BE9" w:rsidRDefault="008F285D" w:rsidP="00DB3BE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BE9">
        <w:rPr>
          <w:rFonts w:ascii="Times New Roman" w:hAnsi="Times New Roman" w:cs="Times New Roman"/>
          <w:sz w:val="28"/>
          <w:szCs w:val="28"/>
        </w:rPr>
        <w:t>Апробацию индивидуального паспорта педагога, а также скорректированного паспорта инновационной деятельности образовательной организации предполагается проводить на образовательных организациях, получивших статус РИП по итогам конкурса 2016 года. После апробации появится возможность запустить паспорт на региональном уровне.</w:t>
      </w:r>
      <w:r w:rsidR="00DB3BE9">
        <w:rPr>
          <w:rFonts w:ascii="Times New Roman" w:hAnsi="Times New Roman" w:cs="Times New Roman"/>
          <w:sz w:val="28"/>
          <w:szCs w:val="28"/>
        </w:rPr>
        <w:t xml:space="preserve"> В случае, если восприятие паспорта инновационной деятельности перейдет из категории «отчет» в категорию «инструмент развития», появится возможность оптимизировать деятельность по реализации инновационных проектов </w:t>
      </w:r>
      <w:r w:rsidR="00E167EA">
        <w:rPr>
          <w:rFonts w:ascii="Times New Roman" w:hAnsi="Times New Roman" w:cs="Times New Roman"/>
          <w:sz w:val="28"/>
          <w:szCs w:val="28"/>
        </w:rPr>
        <w:t xml:space="preserve">на муниципальном </w:t>
      </w:r>
      <w:r w:rsidR="00DB3BE9">
        <w:rPr>
          <w:rFonts w:ascii="Times New Roman" w:hAnsi="Times New Roman" w:cs="Times New Roman"/>
          <w:sz w:val="28"/>
          <w:szCs w:val="28"/>
        </w:rPr>
        <w:t>и региональном уровн</w:t>
      </w:r>
      <w:r w:rsidR="00E167EA">
        <w:rPr>
          <w:rFonts w:ascii="Times New Roman" w:hAnsi="Times New Roman" w:cs="Times New Roman"/>
          <w:sz w:val="28"/>
          <w:szCs w:val="28"/>
        </w:rPr>
        <w:t>ях</w:t>
      </w:r>
      <w:r w:rsidR="00DB3BE9">
        <w:rPr>
          <w:rFonts w:ascii="Times New Roman" w:hAnsi="Times New Roman" w:cs="Times New Roman"/>
          <w:sz w:val="28"/>
          <w:szCs w:val="28"/>
        </w:rPr>
        <w:t>.</w:t>
      </w:r>
    </w:p>
    <w:sectPr w:rsidR="008F285D" w:rsidRPr="00DB3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072" w:rsidRDefault="007F3072" w:rsidP="000A6820">
      <w:pPr>
        <w:spacing w:after="0" w:line="240" w:lineRule="auto"/>
      </w:pPr>
      <w:r>
        <w:separator/>
      </w:r>
    </w:p>
  </w:endnote>
  <w:endnote w:type="continuationSeparator" w:id="0">
    <w:p w:rsidR="007F3072" w:rsidRDefault="007F3072" w:rsidP="000A6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072" w:rsidRDefault="007F3072" w:rsidP="000A6820">
      <w:pPr>
        <w:spacing w:after="0" w:line="240" w:lineRule="auto"/>
      </w:pPr>
      <w:r>
        <w:separator/>
      </w:r>
    </w:p>
  </w:footnote>
  <w:footnote w:type="continuationSeparator" w:id="0">
    <w:p w:rsidR="007F3072" w:rsidRDefault="007F3072" w:rsidP="000A6820">
      <w:pPr>
        <w:spacing w:after="0" w:line="240" w:lineRule="auto"/>
      </w:pPr>
      <w:r>
        <w:continuationSeparator/>
      </w:r>
    </w:p>
  </w:footnote>
  <w:footnote w:id="1">
    <w:p w:rsidR="000A6820" w:rsidRPr="00613370" w:rsidRDefault="000A6820">
      <w:pPr>
        <w:pStyle w:val="a5"/>
        <w:rPr>
          <w:rFonts w:ascii="Times New Roman" w:hAnsi="Times New Roman" w:cs="Times New Roman"/>
        </w:rPr>
      </w:pPr>
      <w:r w:rsidRPr="00613370">
        <w:rPr>
          <w:rStyle w:val="a7"/>
          <w:rFonts w:ascii="Times New Roman" w:hAnsi="Times New Roman" w:cs="Times New Roman"/>
        </w:rPr>
        <w:footnoteRef/>
      </w:r>
      <w:r w:rsidRPr="00613370">
        <w:rPr>
          <w:rFonts w:ascii="Times New Roman" w:hAnsi="Times New Roman" w:cs="Times New Roman"/>
        </w:rPr>
        <w:t xml:space="preserve"> В статистике </w:t>
      </w:r>
      <w:r w:rsidR="00D27864">
        <w:rPr>
          <w:rFonts w:ascii="Times New Roman" w:hAnsi="Times New Roman" w:cs="Times New Roman"/>
        </w:rPr>
        <w:t>существует</w:t>
      </w:r>
      <w:r w:rsidRPr="00613370">
        <w:rPr>
          <w:rFonts w:ascii="Times New Roman" w:hAnsi="Times New Roman" w:cs="Times New Roman"/>
        </w:rPr>
        <w:t xml:space="preserve"> ряд показателей, позволяющих определить пороговое значение для упорядоченных рядов данных. Одним их таких показателей является дисперсия, на основе которой рассчитывается стандартное отклонение, как раз и являющееся пороговым значением, разделяющим имеющийся ряд данных.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13598"/>
    <w:multiLevelType w:val="hybridMultilevel"/>
    <w:tmpl w:val="AF32A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41"/>
    <w:rsid w:val="00001DFE"/>
    <w:rsid w:val="00061BCD"/>
    <w:rsid w:val="000A3860"/>
    <w:rsid w:val="000A40DB"/>
    <w:rsid w:val="000A6820"/>
    <w:rsid w:val="000F51F3"/>
    <w:rsid w:val="001067CF"/>
    <w:rsid w:val="001C455F"/>
    <w:rsid w:val="001F1603"/>
    <w:rsid w:val="001F5C10"/>
    <w:rsid w:val="00264A00"/>
    <w:rsid w:val="002E1CD0"/>
    <w:rsid w:val="0035756A"/>
    <w:rsid w:val="003577DA"/>
    <w:rsid w:val="003B4732"/>
    <w:rsid w:val="004556F1"/>
    <w:rsid w:val="004F159E"/>
    <w:rsid w:val="005800A2"/>
    <w:rsid w:val="005830C5"/>
    <w:rsid w:val="005C3841"/>
    <w:rsid w:val="005D6BAD"/>
    <w:rsid w:val="00613370"/>
    <w:rsid w:val="00673FE0"/>
    <w:rsid w:val="007361E8"/>
    <w:rsid w:val="00791FBE"/>
    <w:rsid w:val="007E5322"/>
    <w:rsid w:val="007F3072"/>
    <w:rsid w:val="0082464D"/>
    <w:rsid w:val="008E39D4"/>
    <w:rsid w:val="008F285D"/>
    <w:rsid w:val="0090012D"/>
    <w:rsid w:val="00934A22"/>
    <w:rsid w:val="00985DD5"/>
    <w:rsid w:val="00A14AAA"/>
    <w:rsid w:val="00AB408A"/>
    <w:rsid w:val="00AB4409"/>
    <w:rsid w:val="00AC057A"/>
    <w:rsid w:val="00AC326A"/>
    <w:rsid w:val="00B32682"/>
    <w:rsid w:val="00B438F1"/>
    <w:rsid w:val="00B52422"/>
    <w:rsid w:val="00BA76B7"/>
    <w:rsid w:val="00C6707F"/>
    <w:rsid w:val="00C937AD"/>
    <w:rsid w:val="00CA62E8"/>
    <w:rsid w:val="00D27864"/>
    <w:rsid w:val="00D539C0"/>
    <w:rsid w:val="00D840BE"/>
    <w:rsid w:val="00DB3BE9"/>
    <w:rsid w:val="00E167EA"/>
    <w:rsid w:val="00E330C3"/>
    <w:rsid w:val="00EA285C"/>
    <w:rsid w:val="00F13D39"/>
    <w:rsid w:val="00F52834"/>
    <w:rsid w:val="00F6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4D60D-C096-4C05-87FA-3B64F280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08A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0A682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A682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A68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8ABEE-D0BE-4851-B423-ADE926C8D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1157</Words>
  <Characters>6595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Александровна Патокина</dc:creator>
  <cp:keywords/>
  <dc:description/>
  <cp:lastModifiedBy>Анна Борисовна Алферова</cp:lastModifiedBy>
  <cp:revision>2</cp:revision>
  <dcterms:created xsi:type="dcterms:W3CDTF">2017-04-05T12:01:00Z</dcterms:created>
  <dcterms:modified xsi:type="dcterms:W3CDTF">2017-04-05T12:01:00Z</dcterms:modified>
</cp:coreProperties>
</file>